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CFAA">
      <w:pPr>
        <w:widowControl/>
        <w:spacing w:after="0" w:line="360" w:lineRule="atLeast"/>
        <w:outlineLvl w:val="0"/>
        <w:rPr>
          <w:rFonts w:ascii="Arial" w:hAnsi="Arial" w:eastAsia="宋体" w:cs="Arial"/>
          <w:color w:val="1F2329"/>
          <w:kern w:val="36"/>
          <w:sz w:val="24"/>
          <w14:ligatures w14:val="none"/>
        </w:rPr>
      </w:pPr>
    </w:p>
    <w:p w14:paraId="03DAC965">
      <w:pPr>
        <w:widowControl/>
        <w:spacing w:after="0" w:line="360" w:lineRule="atLeast"/>
        <w:outlineLvl w:val="0"/>
        <w:rPr>
          <w:rFonts w:ascii="Arial" w:hAnsi="Arial" w:eastAsia="宋体" w:cs="Arial"/>
          <w:color w:val="1F2329"/>
          <w:kern w:val="36"/>
          <w:sz w:val="24"/>
          <w14:ligatures w14:val="none"/>
        </w:rPr>
      </w:pPr>
    </w:p>
    <w:p w14:paraId="19C7B64E">
      <w:pPr>
        <w:widowControl/>
        <w:spacing w:after="0" w:line="360" w:lineRule="atLeast"/>
        <w:outlineLvl w:val="0"/>
        <w:rPr>
          <w:rFonts w:ascii="Arial" w:hAnsi="Arial" w:eastAsia="宋体" w:cs="Arial"/>
          <w:color w:val="1F2329"/>
          <w:kern w:val="36"/>
          <w:sz w:val="24"/>
          <w14:ligatures w14:val="none"/>
        </w:rPr>
      </w:pPr>
    </w:p>
    <w:p w14:paraId="3BA872E5">
      <w:pPr>
        <w:widowControl/>
        <w:spacing w:after="0" w:line="360" w:lineRule="atLeast"/>
        <w:outlineLvl w:val="0"/>
        <w:rPr>
          <w:rFonts w:ascii="Arial" w:hAnsi="Arial" w:eastAsia="宋体" w:cs="Arial"/>
          <w:color w:val="1F2329"/>
          <w:kern w:val="36"/>
          <w:sz w:val="24"/>
          <w14:ligatures w14:val="none"/>
        </w:rPr>
      </w:pPr>
    </w:p>
    <w:p w14:paraId="3E70F4E5">
      <w:pPr>
        <w:widowControl/>
        <w:spacing w:after="0" w:line="360" w:lineRule="atLeast"/>
        <w:outlineLvl w:val="0"/>
        <w:rPr>
          <w:rFonts w:ascii="Arial" w:hAnsi="Arial" w:eastAsia="宋体" w:cs="Arial"/>
          <w:color w:val="1F2329"/>
          <w:kern w:val="36"/>
          <w:sz w:val="24"/>
          <w14:ligatures w14:val="none"/>
        </w:rPr>
      </w:pPr>
    </w:p>
    <w:p w14:paraId="16EC8A18">
      <w:pPr>
        <w:widowControl/>
        <w:spacing w:after="0" w:line="360" w:lineRule="atLeast"/>
        <w:jc w:val="center"/>
        <w:outlineLvl w:val="0"/>
        <w:rPr>
          <w:rFonts w:hint="eastAsia" w:ascii="黑体" w:hAnsi="黑体" w:eastAsia="黑体" w:cs="Arial"/>
          <w:color w:val="1F2329"/>
          <w:kern w:val="36"/>
          <w:sz w:val="44"/>
          <w:szCs w:val="44"/>
          <w14:ligatures w14:val="none"/>
        </w:rPr>
      </w:pPr>
      <w:bookmarkStart w:id="0" w:name="_Toc230213385"/>
      <w:bookmarkStart w:id="1" w:name="_Toc230721186"/>
      <w:r>
        <w:rPr>
          <w:rFonts w:ascii="黑体" w:hAnsi="黑体" w:eastAsia="黑体" w:cs="Arial"/>
          <w:color w:val="1F2329"/>
          <w:kern w:val="36"/>
          <w:sz w:val="44"/>
          <w:szCs w:val="44"/>
          <w14:ligatures w14:val="none"/>
        </w:rPr>
        <w:t>医院 LED 显示屏维保服务</w:t>
      </w:r>
      <w:bookmarkEnd w:id="0"/>
      <w:bookmarkEnd w:id="1"/>
    </w:p>
    <w:p w14:paraId="012948EA">
      <w:pPr>
        <w:widowControl/>
        <w:spacing w:after="0" w:line="360" w:lineRule="atLeast"/>
        <w:jc w:val="center"/>
        <w:outlineLvl w:val="0"/>
        <w:rPr>
          <w:rFonts w:hint="eastAsia" w:ascii="黑体" w:hAnsi="黑体" w:eastAsia="黑体" w:cs="Arial"/>
          <w:color w:val="1F2329"/>
          <w:kern w:val="0"/>
          <w:sz w:val="44"/>
          <w:szCs w:val="44"/>
          <w14:ligatures w14:val="none"/>
        </w:rPr>
      </w:pPr>
      <w:bookmarkStart w:id="2" w:name="_Toc230213386"/>
      <w:bookmarkStart w:id="3" w:name="_Toc230721187"/>
      <w:r>
        <w:rPr>
          <w:rFonts w:ascii="黑体" w:hAnsi="黑体" w:eastAsia="黑体" w:cs="Arial"/>
          <w:color w:val="1F2329"/>
          <w:kern w:val="36"/>
          <w:sz w:val="44"/>
          <w:szCs w:val="44"/>
          <w14:ligatures w14:val="none"/>
        </w:rPr>
        <w:t>项目</w:t>
      </w:r>
      <w:r>
        <w:rPr>
          <w:rFonts w:ascii="黑体" w:hAnsi="黑体" w:eastAsia="黑体" w:cs="Arial"/>
          <w:color w:val="1F2329"/>
          <w:kern w:val="0"/>
          <w:sz w:val="44"/>
          <w:szCs w:val="44"/>
          <w14:ligatures w14:val="none"/>
        </w:rPr>
        <w:t>采购</w:t>
      </w:r>
      <w:bookmarkStart w:id="24" w:name="_GoBack"/>
      <w:bookmarkEnd w:id="24"/>
      <w:r>
        <w:rPr>
          <w:rFonts w:ascii="黑体" w:hAnsi="黑体" w:eastAsia="黑体" w:cs="Arial"/>
          <w:color w:val="1F2329"/>
          <w:kern w:val="0"/>
          <w:sz w:val="44"/>
          <w:szCs w:val="44"/>
          <w14:ligatures w14:val="none"/>
        </w:rPr>
        <w:t>技术</w:t>
      </w:r>
      <w:r>
        <w:rPr>
          <w:rFonts w:hint="eastAsia" w:ascii="黑体" w:hAnsi="黑体" w:eastAsia="黑体" w:cs="Arial"/>
          <w:color w:val="1F2329"/>
          <w:kern w:val="0"/>
          <w:sz w:val="44"/>
          <w:szCs w:val="44"/>
          <w14:ligatures w14:val="none"/>
        </w:rPr>
        <w:t>要求</w:t>
      </w:r>
      <w:bookmarkEnd w:id="2"/>
      <w:bookmarkEnd w:id="3"/>
    </w:p>
    <w:p w14:paraId="16A735AE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026C2132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4C404D07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4850D764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780A8F0E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66980DB3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7A1062C7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5F53B570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0D7B8A80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724ABCC6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7B0A33E3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25E08C6B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348358D2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6636AAC6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407C8C0D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2AD0CF69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65B2942E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2072506A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4313143E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678FE5B4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4DF0034C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2C787364">
      <w:pPr>
        <w:widowControl/>
        <w:spacing w:after="0" w:line="360" w:lineRule="atLeast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382006CE">
      <w:pPr>
        <w:widowControl/>
        <w:spacing w:after="0" w:line="360" w:lineRule="atLeast"/>
        <w:jc w:val="center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606DCC8C">
      <w:pPr>
        <w:widowControl/>
        <w:spacing w:after="0" w:line="360" w:lineRule="atLeast"/>
        <w:jc w:val="center"/>
        <w:rPr>
          <w:rFonts w:ascii="Arial" w:hAnsi="Arial" w:eastAsia="宋体" w:cs="Arial"/>
          <w:b/>
          <w:bCs/>
          <w:color w:val="1F2329"/>
          <w:kern w:val="0"/>
          <w:sz w:val="24"/>
          <w14:ligatures w14:val="none"/>
        </w:rPr>
      </w:pPr>
    </w:p>
    <w:p w14:paraId="36E17136">
      <w:pPr>
        <w:widowControl/>
        <w:spacing w:after="0" w:line="360" w:lineRule="atLeast"/>
        <w:jc w:val="center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ascii="Arial" w:hAnsi="Arial" w:eastAsia="宋体" w:cs="Arial"/>
          <w:b/>
          <w:bCs/>
          <w:color w:val="1F2329"/>
          <w:kern w:val="0"/>
          <w:sz w:val="28"/>
          <w:szCs w:val="28"/>
          <w14:ligatures w14:val="none"/>
        </w:rPr>
        <w:t>适用范围</w:t>
      </w:r>
      <w:r>
        <w:rPr>
          <w:rFonts w:ascii="Arial" w:hAnsi="Arial" w:eastAsia="宋体" w:cs="Arial"/>
          <w:color w:val="1F2329"/>
          <w:kern w:val="0"/>
          <w:sz w:val="28"/>
          <w:szCs w:val="28"/>
          <w14:ligatures w14:val="none"/>
        </w:rPr>
        <w:t>：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办公楼一体机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、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多功能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厅全彩屏</w:t>
      </w:r>
    </w:p>
    <w:p w14:paraId="1A558E69">
      <w:pPr>
        <w:widowControl/>
        <w:spacing w:after="0" w:line="360" w:lineRule="atLeast"/>
        <w:jc w:val="center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</w:p>
    <w:p w14:paraId="78AFF701">
      <w:pPr>
        <w:widowControl/>
        <w:spacing w:after="0" w:line="360" w:lineRule="atLeast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</w:p>
    <w:p w14:paraId="01C0F6EE">
      <w:pPr>
        <w:widowControl/>
        <w:spacing w:after="0" w:line="360" w:lineRule="atLeast"/>
        <w:rPr>
          <w:rFonts w:ascii="Arial" w:hAnsi="Arial" w:eastAsia="宋体" w:cs="Arial"/>
          <w:kern w:val="0"/>
          <w:sz w:val="24"/>
          <w14:ligatures w14:val="none"/>
        </w:rPr>
      </w:pPr>
    </w:p>
    <w:p w14:paraId="127CA464">
      <w:pPr>
        <w:widowControl/>
        <w:spacing w:after="0" w:line="360" w:lineRule="atLeast"/>
        <w:outlineLvl w:val="1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</w:p>
    <w:p w14:paraId="62CDBD35">
      <w:pPr>
        <w:widowControl/>
        <w:spacing w:after="0" w:line="360" w:lineRule="atLeast"/>
        <w:jc w:val="center"/>
        <w:outlineLvl w:val="1"/>
        <w:rPr>
          <w:rFonts w:hint="eastAsia" w:ascii="黑体" w:hAnsi="黑体" w:eastAsia="黑体" w:cs="Arial"/>
          <w:color w:val="1F2329"/>
          <w:kern w:val="0"/>
          <w:sz w:val="28"/>
          <w:szCs w:val="28"/>
          <w14:ligatures w14:val="none"/>
        </w:rPr>
      </w:pPr>
      <w:bookmarkStart w:id="4" w:name="_Toc230213387"/>
      <w:bookmarkStart w:id="5" w:name="_Toc230721188"/>
      <w:r>
        <w:rPr>
          <w:rFonts w:ascii="黑体" w:hAnsi="黑体" w:eastAsia="黑体" w:cs="Arial"/>
          <w:color w:val="1F2329"/>
          <w:kern w:val="0"/>
          <w:sz w:val="28"/>
          <w:szCs w:val="28"/>
          <w14:ligatures w14:val="none"/>
        </w:rPr>
        <w:t>目</w:t>
      </w:r>
      <w:r>
        <w:rPr>
          <w:rFonts w:hint="eastAsia" w:ascii="黑体" w:hAnsi="黑体" w:eastAsia="黑体" w:cs="Arial"/>
          <w:color w:val="1F2329"/>
          <w:kern w:val="0"/>
          <w:sz w:val="28"/>
          <w:szCs w:val="28"/>
          <w14:ligatures w14:val="none"/>
        </w:rPr>
        <w:t xml:space="preserve">  </w:t>
      </w:r>
      <w:r>
        <w:rPr>
          <w:rFonts w:ascii="黑体" w:hAnsi="黑体" w:eastAsia="黑体" w:cs="Arial"/>
          <w:color w:val="1F2329"/>
          <w:kern w:val="0"/>
          <w:sz w:val="28"/>
          <w:szCs w:val="28"/>
          <w14:ligatures w14:val="none"/>
        </w:rPr>
        <w:t xml:space="preserve"> 录</w:t>
      </w:r>
      <w:bookmarkEnd w:id="4"/>
      <w:bookmarkEnd w:id="5"/>
    </w:p>
    <w:p w14:paraId="332AB3B2">
      <w:pPr>
        <w:widowControl/>
        <w:spacing w:after="0" w:line="360" w:lineRule="atLeas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sdt>
      <w:sdtPr>
        <w:rPr>
          <w:lang w:val="zh-CN"/>
        </w:rPr>
        <w:id w:val="-141348140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 w14:paraId="46EEBC60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rPr>
              <w:rFonts w:asciiTheme="majorHAnsi" w:hAnsiTheme="majorHAnsi" w:eastAsiaTheme="majorEastAsia" w:cstheme="majorBidi"/>
              <w:color w:val="104862" w:themeColor="accent1" w:themeShade="BF"/>
              <w:kern w:val="0"/>
              <w:sz w:val="32"/>
              <w:szCs w:val="32"/>
              <w14:ligatures w14:val="none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hAnsiTheme="majorHAnsi" w:eastAsiaTheme="majorEastAsia" w:cstheme="majorBidi"/>
              <w:color w:val="104862" w:themeColor="accent1" w:themeShade="BF"/>
              <w:kern w:val="0"/>
              <w:sz w:val="32"/>
              <w:szCs w:val="32"/>
              <w14:ligatures w14:val="none"/>
            </w:rPr>
            <w:fldChar w:fldCharType="separate"/>
          </w:r>
          <w:r>
            <w:fldChar w:fldCharType="begin"/>
          </w:r>
          <w:r>
            <w:instrText xml:space="preserve"> HYPERLINK \l "_Toc230721186"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kern w:val="36"/>
              <w14:ligatures w14:val="none"/>
            </w:rPr>
            <w:t>医院 LED 显示屏维保服务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_Toc230721186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FBD8651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"_Toc230721187"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kern w:val="36"/>
              <w14:ligatures w14:val="none"/>
            </w:rPr>
            <w:t>项目</w:t>
          </w:r>
          <w:r>
            <w:rPr>
              <w:rStyle w:val="19"/>
              <w:rFonts w:ascii="黑体" w:hAnsi="黑体" w:eastAsia="黑体" w:cs="Arial"/>
              <w:kern w:val="0"/>
              <w14:ligatures w14:val="none"/>
            </w:rPr>
            <w:t>招标（采购）技术要求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_Toc230721187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4D6AA4B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"_Toc230721188"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kern w:val="0"/>
              <w14:ligatures w14:val="none"/>
            </w:rPr>
            <w:t>目   录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_Toc230721188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A4FC30F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"_Toc230721189"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一、项目概况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_Toc230721189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0FAD8AF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"_Toc230721190"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1.1 项目背景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257A14B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"_Toc230721191"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1.2 维保对象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6D38D6B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"_Toc230721192"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1.3 服务目标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CE50D2C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"_Toc230721193"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二、维保服务范围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A373FE1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"_Toc230721194"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三、总体服务要求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249A6DFC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"_Toc230721195"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四、硬件维护技术参数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37A2ED1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"_Toc230721196"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4.1 显示单元维护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162F2B4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"_Toc230721197"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4.2 电源与驱动维护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C0590A6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"_Toc230721198"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4.3 结构与安全维护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C8AFF0F">
          <w:pPr>
            <w:pStyle w:val="15"/>
            <w:tabs>
              <w:tab w:val="right" w:leader="dot" w:pos="9346"/>
            </w:tabs>
            <w:ind w:left="440"/>
            <w:rPr>
              <w:rFonts w:hint="eastAsia"/>
            </w:rPr>
          </w:pPr>
          <w:r>
            <w:fldChar w:fldCharType="begin"/>
          </w:r>
          <w:r>
            <w:instrText xml:space="preserve"> HYPERLINK \l "_Toc230721199" </w:instrText>
          </w:r>
          <w:r>
            <w:fldChar w:fldCharType="separate"/>
          </w:r>
          <w:r>
            <w:rPr>
              <w:rStyle w:val="19"/>
              <w:rFonts w:ascii="宋体" w:hAnsi="宋体" w:eastAsia="宋体" w:cs="Arial"/>
              <w:b/>
              <w:bCs/>
              <w:kern w:val="0"/>
              <w14:ligatures w14:val="none"/>
            </w:rPr>
            <w:t>4.4 信号与控制设备维护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_Toc230721199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B679242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"_Toc230721200"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五、软件与系统对接维护要求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F629D1B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"_Toc230721201"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六、故障响应与服务时效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531F850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"_Toc230721202"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七、定期巡检与保养服务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90FF74B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"_Toc230721203"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八、备件与材料保障要求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48ED71B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"_Toc230721204"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九、验收标准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6DEFF01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"_Toc230721205"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十、服务团队与资质要求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3E974D3">
          <w:pPr>
            <w:pStyle w:val="13"/>
            <w:tabs>
              <w:tab w:val="right" w:leader="dot" w:pos="9346"/>
            </w:tabs>
            <w:rPr>
              <w:rFonts w:hint="eastAsia"/>
            </w:rPr>
          </w:pPr>
          <w:r>
            <w:fldChar w:fldCharType="begin"/>
          </w:r>
          <w:r>
            <w:instrText xml:space="preserve"> HYPERLINK \l "_Toc230721206" </w:instrText>
          </w:r>
          <w:r>
            <w:fldChar w:fldCharType="separate"/>
          </w:r>
          <w:r>
            <w:rPr>
              <w:rStyle w:val="19"/>
              <w:rFonts w:ascii="黑体" w:hAnsi="黑体" w:eastAsia="黑体" w:cs="Arial"/>
              <w:b/>
              <w:bCs/>
              <w:kern w:val="36"/>
              <w14:ligatures w14:val="none"/>
            </w:rPr>
            <w:t>十一、 附则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_Toc230721206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8F4A496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5BA034A">
      <w:pPr>
        <w:widowControl/>
        <w:spacing w:after="0" w:line="360" w:lineRule="atLeas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p w14:paraId="1B96B13E">
      <w:pPr>
        <w:widowControl/>
        <w:spacing w:after="0" w:line="360" w:lineRule="atLeas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p w14:paraId="667CA1A5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6" w:name="_Toc230721189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一、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项目概况</w:t>
      </w:r>
      <w:bookmarkEnd w:id="6"/>
    </w:p>
    <w:p w14:paraId="565231AC">
      <w:pPr>
        <w:widowControl/>
        <w:spacing w:after="0" w:line="440" w:lineRule="exact"/>
        <w:ind w:firstLine="482" w:firstLineChars="200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7" w:name="_Toc230721190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1.1 项目背景</w:t>
      </w:r>
      <w:bookmarkEnd w:id="7"/>
    </w:p>
    <w:p w14:paraId="2A48818E">
      <w:pPr>
        <w:widowControl/>
        <w:spacing w:after="0" w:line="440" w:lineRule="exact"/>
        <w:ind w:firstLine="480" w:firstLineChars="200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医院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现有 LED 显示屏广泛应用于门诊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大厅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、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收费窗口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、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办公楼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公告、健康宣教、会议报告厅等业务场景，是医院诊疗服务、信息发布、患者引导的重要载体。目前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部分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设备即将到达原厂维保期限，为保障设备7×24 小时稳定运行、画面正常显示、信息实时发布、业务不间断，现启动 LED 显示屏后续年度维保服务采购。</w:t>
      </w:r>
    </w:p>
    <w:p w14:paraId="3A9EF7E8">
      <w:pPr>
        <w:widowControl/>
        <w:spacing w:after="0" w:line="440" w:lineRule="exact"/>
        <w:ind w:firstLine="482" w:firstLineChars="200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8" w:name="_Toc230721191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1.2 维保对象</w:t>
      </w:r>
      <w:bookmarkEnd w:id="8"/>
    </w:p>
    <w:p w14:paraId="7F995884">
      <w:pPr>
        <w:widowControl/>
        <w:spacing w:after="0" w:line="440" w:lineRule="exact"/>
        <w:ind w:firstLine="480" w:firstLineChars="200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科研楼报告厅大屏、办公楼一体机及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视频处理器、控制终端、播放软件、结构框架、散热系统等全套软硬件设备。</w:t>
      </w:r>
    </w:p>
    <w:p w14:paraId="38E5CCF8">
      <w:pPr>
        <w:widowControl/>
        <w:spacing w:after="0" w:line="440" w:lineRule="exact"/>
        <w:ind w:firstLine="482" w:firstLineChars="200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9" w:name="_Toc230721192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1.3 服务目标</w:t>
      </w:r>
      <w:bookmarkEnd w:id="9"/>
    </w:p>
    <w:p w14:paraId="62F51A3D">
      <w:pPr>
        <w:widowControl/>
        <w:numPr>
          <w:ilvl w:val="0"/>
          <w:numId w:val="1"/>
        </w:numPr>
        <w:spacing w:after="0" w:line="440" w:lineRule="exact"/>
        <w:ind w:hanging="153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保障 LED 屏无黑屏、无花屏、无死灯、无亮线 / 暗线、无闪屏。</w:t>
      </w:r>
    </w:p>
    <w:p w14:paraId="6FFC6F52">
      <w:pPr>
        <w:widowControl/>
        <w:numPr>
          <w:ilvl w:val="0"/>
          <w:numId w:val="1"/>
        </w:numPr>
        <w:spacing w:after="0" w:line="440" w:lineRule="exact"/>
        <w:ind w:hanging="153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保障与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医院业务或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HIS 系统、公告发布系统无缝对接、实时显示。</w:t>
      </w:r>
    </w:p>
    <w:p w14:paraId="4247A2D6">
      <w:pPr>
        <w:widowControl/>
        <w:numPr>
          <w:ilvl w:val="0"/>
          <w:numId w:val="1"/>
        </w:numPr>
        <w:spacing w:after="0" w:line="440" w:lineRule="exact"/>
        <w:ind w:hanging="153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故障快速修复，不影响门诊、住院、医技、会议等核心业务。</w:t>
      </w:r>
    </w:p>
    <w:p w14:paraId="513EC3EF">
      <w:pPr>
        <w:widowControl/>
        <w:numPr>
          <w:ilvl w:val="0"/>
          <w:numId w:val="1"/>
        </w:numPr>
        <w:spacing w:after="0" w:line="440" w:lineRule="exact"/>
        <w:ind w:hanging="153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设备运行安全、结构牢固、线路规范，消除安全隐患。</w:t>
      </w:r>
    </w:p>
    <w:p w14:paraId="511A9644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10" w:name="_Toc230721193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二、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维保服务范围</w:t>
      </w:r>
      <w:bookmarkEnd w:id="10"/>
    </w:p>
    <w:p w14:paraId="04039B2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屏体维修：显示模组、灯板、面罩、箱体维护与更换。</w:t>
      </w:r>
    </w:p>
    <w:p w14:paraId="1962EE19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驱动系统：发送卡、接收卡、转接板、驱动模块检测与更换。</w:t>
      </w:r>
    </w:p>
    <w:p w14:paraId="0354F5E6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供电系统：开关电源、供电线路、接插件检测与故障排除。</w:t>
      </w:r>
    </w:p>
    <w:p w14:paraId="6D6A3099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结构安全：框架、挂架、支架、紧固件安全检查与加固。</w:t>
      </w:r>
    </w:p>
    <w:p w14:paraId="1DD758B2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5．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信号系统：视频处理器、分配器、网线、光纤、HDMI/DP 线维护。</w:t>
      </w:r>
    </w:p>
    <w:p w14:paraId="6972597C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6．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软件系统：播放软件、控制软件、系统调试、故障修复、版本维护。</w:t>
      </w:r>
    </w:p>
    <w:p w14:paraId="437DC72C">
      <w:pPr>
        <w:widowControl/>
        <w:spacing w:after="0" w:line="440" w:lineRule="exact"/>
        <w:ind w:firstLine="566" w:firstLineChars="236"/>
        <w:jc w:val="both"/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7．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系统对接：与医院分诊、叫号、公告、宣教系统联动显示保障。</w:t>
      </w:r>
    </w:p>
    <w:p w14:paraId="4B4EB7F4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8．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应急保障：重大活动、节假日、突发故障应急处置。</w:t>
      </w:r>
    </w:p>
    <w:p w14:paraId="189AB2A7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11" w:name="_Toc230721194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三、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总体服务要求</w:t>
      </w:r>
      <w:bookmarkEnd w:id="11"/>
    </w:p>
    <w:p w14:paraId="01C4668C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本项目为全包式维保服务，包含人工、交通、备件、配件、维修、调试、升级等所有费用，医院不再支付任何额外费用。</w:t>
      </w:r>
    </w:p>
    <w:p w14:paraId="669EACF9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维保期间确保设备达到或优于原有使用性能，不得降低显示效果与使用寿命。</w:t>
      </w:r>
    </w:p>
    <w:p w14:paraId="705EBB6D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所有更换备件须为原厂同型号或同级别优质兼容产品，严禁使用拆机件、劣质件。</w:t>
      </w:r>
    </w:p>
    <w:p w14:paraId="7D4935D0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维保操作须符合医院感染控制、用电安全、高空作业等管理规定。</w:t>
      </w:r>
    </w:p>
    <w:p w14:paraId="7CA25815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5．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维保服务须满足医院7×12 小时业务运行需求。</w:t>
      </w:r>
    </w:p>
    <w:p w14:paraId="31FD5CE3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12" w:name="_Toc230721195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四、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硬件维护技术参数</w:t>
      </w:r>
      <w:bookmarkEnd w:id="12"/>
    </w:p>
    <w:p w14:paraId="5FE14D4D">
      <w:pPr>
        <w:widowControl/>
        <w:spacing w:after="0" w:line="440" w:lineRule="exact"/>
        <w:ind w:firstLine="566" w:firstLineChars="235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13" w:name="_Toc230721196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4.1 显示单元维护</w:t>
      </w:r>
      <w:bookmarkEnd w:id="13"/>
    </w:p>
    <w:p w14:paraId="615F5ED5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屏体亮度、对比度、色温、平整度符合出厂标准，画面均匀一致。</w:t>
      </w:r>
    </w:p>
    <w:p w14:paraId="22C605BF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坏点、死灯、暗灯、马赛克、花屏、黑屏、闪屏、亮线、暗线等故障即时修复。</w:t>
      </w:r>
    </w:p>
    <w:p w14:paraId="21D7273D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故障显示模组4 小时内完成更换，恢复正常显示。</w:t>
      </w:r>
    </w:p>
    <w:p w14:paraId="56090123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屏体无明显色差、无进水、无变形、无松动。</w:t>
      </w:r>
    </w:p>
    <w:p w14:paraId="327D7B79">
      <w:pPr>
        <w:widowControl/>
        <w:spacing w:after="0" w:line="440" w:lineRule="exact"/>
        <w:ind w:firstLine="482" w:firstLineChars="200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14" w:name="_Toc230721197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4.2 电源与驱动维护</w:t>
      </w:r>
      <w:bookmarkEnd w:id="14"/>
    </w:p>
    <w:p w14:paraId="12F6B00B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电源模块输出稳定，无过热、无异响、无烧毁、无跳闸，故障即时更换。</w:t>
      </w:r>
    </w:p>
    <w:p w14:paraId="1CCC5CBB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驱动板、接收卡、发送卡工作稳定，无信号丢失、无画面卡顿。</w:t>
      </w:r>
    </w:p>
    <w:p w14:paraId="670E3764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排线、电源线、信号线接触牢固，无老化、无破损、无短路隐患。</w:t>
      </w:r>
    </w:p>
    <w:p w14:paraId="276FDFC8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供电与接地符合安全规范，杜绝漏电、触电风险。</w:t>
      </w:r>
    </w:p>
    <w:p w14:paraId="09E8B714">
      <w:pPr>
        <w:widowControl/>
        <w:spacing w:after="0" w:line="440" w:lineRule="exact"/>
        <w:ind w:firstLine="482" w:firstLineChars="200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15" w:name="_Toc230721198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4.3 结构与安全维护</w:t>
      </w:r>
      <w:bookmarkEnd w:id="15"/>
    </w:p>
    <w:p w14:paraId="3FC42F5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屏体框架、安装支架、挂件牢固可靠，每月检查紧固，防止坠落风险。</w:t>
      </w:r>
    </w:p>
    <w:p w14:paraId="645800FA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散热风扇、散热通道通畅清洁，无积尘、无堵塞、无过热保护停机。</w:t>
      </w:r>
    </w:p>
    <w:p w14:paraId="1F2A6CC3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户外屏具备防水、防风、防雷检查，确保恶劣天气安全运行。</w:t>
      </w:r>
    </w:p>
    <w:p w14:paraId="399B2492">
      <w:pPr>
        <w:widowControl/>
        <w:spacing w:after="0" w:line="440" w:lineRule="exact"/>
        <w:ind w:firstLine="482" w:firstLineChars="200"/>
        <w:outlineLvl w:val="1"/>
        <w:rPr>
          <w:rFonts w:hint="eastAsia" w:ascii="宋体" w:hAnsi="宋体" w:eastAsia="宋体" w:cs="Arial"/>
          <w:b/>
          <w:bCs/>
          <w:color w:val="1F2329"/>
          <w:kern w:val="0"/>
          <w:sz w:val="24"/>
          <w14:ligatures w14:val="none"/>
        </w:rPr>
      </w:pPr>
      <w:bookmarkStart w:id="16" w:name="_Toc230721199"/>
      <w:r>
        <w:rPr>
          <w:rFonts w:ascii="宋体" w:hAnsi="宋体" w:eastAsia="宋体" w:cs="Arial"/>
          <w:b/>
          <w:bCs/>
          <w:color w:val="1F2329"/>
          <w:kern w:val="0"/>
          <w:sz w:val="24"/>
          <w14:ligatures w14:val="none"/>
        </w:rPr>
        <w:t>4.4 信号与控制设备维护</w:t>
      </w:r>
      <w:bookmarkEnd w:id="16"/>
    </w:p>
    <w:p w14:paraId="0FD6C39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视频处理器、切换器、控制电脑运行稳定，信号无延迟、无中断。</w:t>
      </w:r>
    </w:p>
    <w:p w14:paraId="3D1952F0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分辨率、刷新率、灰度等级符合设备设计标准。</w:t>
      </w:r>
    </w:p>
    <w:p w14:paraId="0F8FA30C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同步 / 异步播放、远程控制、定时开关机功能正常。</w:t>
      </w:r>
    </w:p>
    <w:p w14:paraId="77B0B2AB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17" w:name="_Toc230721200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五、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软件与系统对接维护要求</w:t>
      </w:r>
      <w:bookmarkEnd w:id="17"/>
    </w:p>
    <w:p w14:paraId="50C3406F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负责 LED 控制软件、播放软件的安装、调试、故障修复、版本升级。</w:t>
      </w:r>
    </w:p>
    <w:p w14:paraId="6D8BB4F8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保障与医院分诊叫号、检验报告、公告发布、宣教系统实时对接。</w:t>
      </w:r>
    </w:p>
    <w:p w14:paraId="23AA7559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解决内容错位、停播、卡顿、黑屏、信号丢失、播放失败等问题。</w:t>
      </w:r>
    </w:p>
    <w:p w14:paraId="5D64967F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协助医务人员进行内容发布、排版、更新、定时播放设置。</w:t>
      </w:r>
    </w:p>
    <w:p w14:paraId="76EE64B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5．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提供操作培训，确保院方人员可独立使用。</w:t>
      </w:r>
    </w:p>
    <w:p w14:paraId="54B38959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18" w:name="_Toc230721201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六、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故障响应与服务时效</w:t>
      </w:r>
      <w:bookmarkEnd w:id="18"/>
    </w:p>
    <w:p w14:paraId="06A90822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报修响应时间：≤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30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 xml:space="preserve"> 分钟（电话 / 微信 / 远程）。</w:t>
      </w:r>
    </w:p>
    <w:p w14:paraId="1DA9A9F0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现场到达时间：≤2 小时。</w:t>
      </w:r>
    </w:p>
    <w:p w14:paraId="10E92EC3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一般故障：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2小时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内排查，当场修复完毕。</w:t>
      </w:r>
    </w:p>
    <w:p w14:paraId="5CB3A8C2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重大故障：4 小时内提供临时恢复方案，24 小时内彻底解决。</w:t>
      </w:r>
    </w:p>
    <w:p w14:paraId="735E03F9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5．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同一故障重复出现：免费彻底整改，并提供优化方案。</w:t>
      </w:r>
    </w:p>
    <w:p w14:paraId="78CB5E1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6．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门诊、</w:t>
      </w: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报告厅大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屏故障，优先抢修、最高优先级处理。</w:t>
      </w:r>
    </w:p>
    <w:p w14:paraId="59F5A381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19" w:name="_Toc230721202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七、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定期巡检与保养服务</w:t>
      </w:r>
      <w:bookmarkEnd w:id="19"/>
    </w:p>
    <w:p w14:paraId="3F8E79B5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每月常规巡检：设备运行状态、显示效果、安全隐患排查，出具记录。</w:t>
      </w:r>
    </w:p>
    <w:p w14:paraId="4674BC02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节假日专项保障：元旦、春节、清明、五一、端午、中秋、国庆前全面检查。</w:t>
      </w:r>
    </w:p>
    <w:p w14:paraId="075D7E42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每次服务提供维保工单，由医院使用部门签字确认存档。</w:t>
      </w:r>
    </w:p>
    <w:p w14:paraId="1DE014AB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20" w:name="_Toc230721203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八、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备件与材料保障要求</w:t>
      </w:r>
      <w:bookmarkEnd w:id="20"/>
    </w:p>
    <w:p w14:paraId="3885A01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供应商须在本地常备同型号模组、电源、接收卡、排线、线材等常用备件。</w:t>
      </w:r>
    </w:p>
    <w:p w14:paraId="795A6BA3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维保期内所有备件、材料、人工全部免费，无任何隐形收费。</w:t>
      </w:r>
    </w:p>
    <w:p w14:paraId="1CE046A6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更换备件提供不低于 6 个月质保。</w:t>
      </w:r>
    </w:p>
    <w:p w14:paraId="630320A6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备件更换前须经院方确认，更换后清理现场、恢复环境。</w:t>
      </w:r>
    </w:p>
    <w:p w14:paraId="010C05DD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21" w:name="_Toc230721204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九、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验收标准</w:t>
      </w:r>
      <w:bookmarkEnd w:id="21"/>
    </w:p>
    <w:p w14:paraId="4549980C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屏体显示正常：无黑屏、无花屏、无死灯、无亮线暗线、无闪屏。</w:t>
      </w:r>
    </w:p>
    <w:p w14:paraId="335AD702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亮度均匀、色彩正常、声音清晰（带音频设备）。</w:t>
      </w:r>
    </w:p>
    <w:p w14:paraId="3EF73414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控制系统、播放软件、业务对接系统运行稳定。</w:t>
      </w:r>
    </w:p>
    <w:p w14:paraId="2C95C0A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故障响应及时、修复及时，无长时间停机影响业务。</w:t>
      </w:r>
    </w:p>
    <w:p w14:paraId="080BA068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5．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巡检记录、维保工单、备件更换记录完整齐全。</w:t>
      </w:r>
    </w:p>
    <w:p w14:paraId="411566EF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6．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结构安全、用电安全、散热安全符合规范，无安全隐患。</w:t>
      </w:r>
    </w:p>
    <w:p w14:paraId="36111916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22" w:name="_Toc230721205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十、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服务团队与资质要求</w:t>
      </w:r>
      <w:bookmarkEnd w:id="22"/>
    </w:p>
    <w:p w14:paraId="48FC23C1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供应商具备 LED 显示屏专业维修服务能力与经验。</w:t>
      </w:r>
    </w:p>
    <w:p w14:paraId="0BF476E3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提供固定驻场 / 就近服务工程师，不得随意更换人员。</w:t>
      </w:r>
    </w:p>
    <w:p w14:paraId="3C8198CA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工程师具备显示设备维修操作能力。</w:t>
      </w:r>
    </w:p>
    <w:p w14:paraId="52CF4B4F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具有医院 LED 屏维保案例者优先。</w:t>
      </w:r>
    </w:p>
    <w:p w14:paraId="20D05904">
      <w:pPr>
        <w:widowControl/>
        <w:spacing w:after="0" w:line="440" w:lineRule="exact"/>
        <w:ind w:firstLine="562" w:firstLineChars="200"/>
        <w:outlineLvl w:val="0"/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</w:pPr>
      <w:bookmarkStart w:id="23" w:name="_Toc230721206"/>
      <w:r>
        <w:rPr>
          <w:rFonts w:hint="eastAsia"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>十一、</w:t>
      </w:r>
      <w:r>
        <w:rPr>
          <w:rFonts w:ascii="黑体" w:hAnsi="黑体" w:eastAsia="黑体" w:cs="Arial"/>
          <w:b/>
          <w:bCs/>
          <w:color w:val="1F2329"/>
          <w:kern w:val="36"/>
          <w:sz w:val="28"/>
          <w:szCs w:val="28"/>
          <w14:ligatures w14:val="none"/>
        </w:rPr>
        <w:t xml:space="preserve"> 附则</w:t>
      </w:r>
      <w:bookmarkEnd w:id="23"/>
    </w:p>
    <w:p w14:paraId="73F3A79F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1．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本技术规范书为采购 / 招标核心文件，中标人须完全响应、严格执行。</w:t>
      </w:r>
    </w:p>
    <w:p w14:paraId="65726F4D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2．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服务期内如因维保不到位造成医疗业务中断，供应商承担相应责任。</w:t>
      </w:r>
    </w:p>
    <w:p w14:paraId="7224D694">
      <w:pPr>
        <w:widowControl/>
        <w:spacing w:after="0" w:line="440" w:lineRule="exact"/>
        <w:ind w:firstLine="566" w:firstLineChars="236"/>
        <w:jc w:val="both"/>
        <w:rPr>
          <w:rFonts w:ascii="Arial" w:hAnsi="Arial" w:eastAsia="宋体" w:cs="Arial"/>
          <w:color w:val="1F2329"/>
          <w:kern w:val="0"/>
          <w:sz w:val="24"/>
          <w14:ligatures w14:val="none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3．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本文件与采购文件、服务合同具有同等法律效力。</w:t>
      </w:r>
    </w:p>
    <w:p w14:paraId="5F58CFAF">
      <w:pPr>
        <w:widowControl/>
        <w:spacing w:after="0" w:line="440" w:lineRule="exact"/>
        <w:ind w:firstLine="566" w:firstLineChars="236"/>
        <w:jc w:val="both"/>
        <w:rPr>
          <w:rFonts w:hint="eastAsia"/>
        </w:rPr>
      </w:pPr>
      <w:r>
        <w:rPr>
          <w:rFonts w:hint="eastAsia" w:ascii="Arial" w:hAnsi="Arial" w:eastAsia="宋体" w:cs="Arial"/>
          <w:color w:val="1F2329"/>
          <w:kern w:val="0"/>
          <w:sz w:val="24"/>
          <w14:ligatures w14:val="none"/>
        </w:rPr>
        <w:t>4．</w:t>
      </w:r>
      <w:r>
        <w:rPr>
          <w:rFonts w:ascii="Arial" w:hAnsi="Arial" w:eastAsia="宋体" w:cs="Arial"/>
          <w:color w:val="1F2329"/>
          <w:kern w:val="0"/>
          <w:sz w:val="24"/>
          <w14:ligatures w14:val="none"/>
        </w:rPr>
        <w:t>未尽事宜由双方协商确定。</w:t>
      </w:r>
    </w:p>
    <w:sectPr>
      <w:footerReference r:id="rId5" w:type="default"/>
      <w:pgSz w:w="11906" w:h="16838"/>
      <w:pgMar w:top="1276" w:right="1274" w:bottom="1135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149723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B402097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BFE399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257FF"/>
    <w:multiLevelType w:val="multilevel"/>
    <w:tmpl w:val="457257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14"/>
    <w:rsid w:val="00137398"/>
    <w:rsid w:val="00143DA8"/>
    <w:rsid w:val="00180499"/>
    <w:rsid w:val="00232714"/>
    <w:rsid w:val="00611EAE"/>
    <w:rsid w:val="00613257"/>
    <w:rsid w:val="00694D2B"/>
    <w:rsid w:val="006C6C70"/>
    <w:rsid w:val="0079022C"/>
    <w:rsid w:val="007A52D8"/>
    <w:rsid w:val="008A308B"/>
    <w:rsid w:val="009245F4"/>
    <w:rsid w:val="009822B8"/>
    <w:rsid w:val="00993F86"/>
    <w:rsid w:val="009A316C"/>
    <w:rsid w:val="00A705A3"/>
    <w:rsid w:val="00AD7311"/>
    <w:rsid w:val="00B45CB0"/>
    <w:rsid w:val="00B83798"/>
    <w:rsid w:val="00BD4E5D"/>
    <w:rsid w:val="00C30260"/>
    <w:rsid w:val="00E1069F"/>
    <w:rsid w:val="756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2322</Words>
  <Characters>2389</Characters>
  <Lines>126</Lines>
  <Paragraphs>173</Paragraphs>
  <TotalTime>11</TotalTime>
  <ScaleCrop>false</ScaleCrop>
  <LinksUpToDate>false</LinksUpToDate>
  <CharactersWithSpaces>2476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2026-05-20T15:54:00Z</dcterms:created>
  <dc:creator>Administrator</dc:creator>
  <cp:lastModifiedBy>杨政华</cp:lastModifiedBy>
  <dcterms:modified xsi:type="dcterms:W3CDTF">2026-06-05T09:27:46Z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eyJoZGlkIjoiMDA5NDg2YTJmMzQxMzU1ODI5ZWQ3NTk3ZGRhNDQ1MjMiLCJ1c2VySWQiOiIxMzc1MDE3NTMwIn0=</vt:lpwstr>
  </property>
  <property fmtid="{D5CDD505-2E9C-101B-9397-08002B2CF9AE}" pid="3" name="KSOProductBuildVer">
    <vt:lpwstr>2052-12.1.0.25865</vt:lpwstr>
  </property>
  <property fmtid="{D5CDD505-2E9C-101B-9397-08002B2CF9AE}" pid="4" name="ICV">
    <vt:lpwstr>6DBB553B9DC34AC8896E069145CB4D3B_13</vt:lpwstr>
  </property>
</Properties>
</file>