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50E6C">
      <w:pPr>
        <w:pStyle w:val="30"/>
        <w:autoSpaceDE w:val="0"/>
        <w:autoSpaceDN w:val="0"/>
        <w:adjustRightInd w:val="0"/>
        <w:ind w:left="0"/>
        <w:jc w:val="left"/>
        <w:rPr>
          <w:rFonts w:ascii="仿宋" w:hAnsi="仿宋" w:eastAsia="仿宋" w:cs="仿宋"/>
          <w:b/>
          <w:bCs/>
          <w:sz w:val="24"/>
          <w:szCs w:val="24"/>
        </w:rPr>
      </w:pPr>
      <w:bookmarkStart w:id="0" w:name="OLE_LINK1"/>
      <w:r>
        <w:rPr>
          <w:rFonts w:hint="eastAsia" w:ascii="仿宋" w:hAnsi="仿宋" w:eastAsia="仿宋" w:cs="仿宋"/>
          <w:b/>
          <w:bCs/>
          <w:sz w:val="24"/>
          <w:szCs w:val="24"/>
        </w:rPr>
        <w:t>一、</w:t>
      </w:r>
      <w:bookmarkEnd w:id="0"/>
      <w:r>
        <w:rPr>
          <w:rFonts w:hint="eastAsia" w:ascii="仿宋" w:hAnsi="仿宋" w:eastAsia="仿宋" w:cs="仿宋"/>
          <w:b/>
          <w:bCs/>
          <w:sz w:val="24"/>
          <w:szCs w:val="24"/>
        </w:rPr>
        <w:t>项目情况</w:t>
      </w:r>
    </w:p>
    <w:p w14:paraId="7FB714CE">
      <w:pPr>
        <w:spacing w:after="120"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bookmarkStart w:id="1" w:name="OLE_LINK15"/>
      <w:bookmarkStart w:id="2" w:name="OLE_LINK13"/>
      <w:r>
        <w:rPr>
          <w:rFonts w:ascii="仿宋" w:hAnsi="仿宋" w:eastAsia="仿宋" w:cs="仿宋"/>
          <w:sz w:val="24"/>
          <w:szCs w:val="24"/>
        </w:rPr>
        <w:t>项目为航天中心医院年报采购项目，涵盖年报设计、年报制作及翻译服务，所有服务需符合年报专业呈现需求，保障内容准确性、设计合规性（如网图版权购买）及制作质量，最终交付满足要求的成品及相关配套</w:t>
      </w:r>
      <w:r>
        <w:rPr>
          <w:rFonts w:hint="eastAsia" w:ascii="仿宋" w:hAnsi="仿宋" w:eastAsia="仿宋" w:cs="仿宋"/>
          <w:sz w:val="24"/>
          <w:szCs w:val="24"/>
        </w:rPr>
        <w:t>电子</w:t>
      </w:r>
      <w:r>
        <w:rPr>
          <w:rFonts w:ascii="仿宋" w:hAnsi="仿宋" w:eastAsia="仿宋" w:cs="仿宋"/>
          <w:sz w:val="24"/>
          <w:szCs w:val="24"/>
        </w:rPr>
        <w:t>文件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bookmarkEnd w:id="1"/>
    <w:bookmarkEnd w:id="2"/>
    <w:p w14:paraId="0A718C5F">
      <w:pPr>
        <w:autoSpaceDE w:val="0"/>
        <w:autoSpaceDN w:val="0"/>
        <w:adjustRightInd w:val="0"/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二、设计部分</w:t>
      </w:r>
    </w:p>
    <w:p w14:paraId="4122C133"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设计部分应</w:t>
      </w:r>
      <w:r>
        <w:rPr>
          <w:rFonts w:ascii="仿宋" w:hAnsi="仿宋" w:eastAsia="仿宋" w:cs="仿宋"/>
          <w:sz w:val="24"/>
          <w:szCs w:val="24"/>
        </w:rPr>
        <w:t>以单次完整年报设计服务为单位进行报价，服务内容需覆盖设计全流程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FA95490">
      <w:p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（一）设计要求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0FEDB7E1"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整本报告设计页数为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250P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4E1E1C43"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协助采购人归集零散文案、年度</w:t>
      </w:r>
      <w:r>
        <w:rPr>
          <w:rFonts w:hint="eastAsia" w:ascii="仿宋" w:hAnsi="仿宋" w:eastAsia="仿宋" w:cs="仿宋"/>
          <w:sz w:val="24"/>
          <w:szCs w:val="24"/>
        </w:rPr>
        <w:t>表格</w:t>
      </w:r>
      <w:r>
        <w:rPr>
          <w:rFonts w:ascii="仿宋" w:hAnsi="仿宋" w:eastAsia="仿宋" w:cs="仿宋"/>
          <w:sz w:val="24"/>
          <w:szCs w:val="24"/>
        </w:rPr>
        <w:t>数据、荣誉资料，完成资料分类梳理、冗余内容筛选</w:t>
      </w:r>
      <w:r>
        <w:rPr>
          <w:rFonts w:hint="eastAsia" w:ascii="仿宋" w:hAnsi="仿宋" w:eastAsia="仿宋" w:cs="仿宋"/>
          <w:sz w:val="24"/>
          <w:szCs w:val="24"/>
        </w:rPr>
        <w:t>建议，</w:t>
      </w:r>
      <w:r>
        <w:rPr>
          <w:rFonts w:ascii="仿宋" w:hAnsi="仿宋" w:eastAsia="仿宋" w:cs="仿宋"/>
          <w:sz w:val="24"/>
          <w:szCs w:val="24"/>
        </w:rPr>
        <w:t>完成装帧设计、版面设计及封面工艺设计，确保与品牌调性适配；</w:t>
      </w:r>
    </w:p>
    <w:p w14:paraId="742F0B3B"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视觉处理：包含</w:t>
      </w:r>
      <w:r>
        <w:rPr>
          <w:rFonts w:hint="eastAsia" w:ascii="仿宋" w:hAnsi="仿宋" w:eastAsia="仿宋" w:cs="仿宋"/>
          <w:sz w:val="24"/>
          <w:szCs w:val="24"/>
        </w:rPr>
        <w:t>大量</w:t>
      </w:r>
      <w:r>
        <w:rPr>
          <w:rFonts w:ascii="仿宋" w:hAnsi="仿宋" w:eastAsia="仿宋" w:cs="仿宋"/>
          <w:sz w:val="24"/>
          <w:szCs w:val="24"/>
        </w:rPr>
        <w:t>图片修整（老图/模糊图像素优化、清晰度提升、色彩还原）、图表与信息图优化、逻辑图</w:t>
      </w:r>
      <w:r>
        <w:rPr>
          <w:rFonts w:hint="eastAsia" w:ascii="仿宋" w:hAnsi="仿宋" w:eastAsia="仿宋" w:cs="仿宋"/>
          <w:sz w:val="24"/>
          <w:szCs w:val="24"/>
        </w:rPr>
        <w:t>重构</w:t>
      </w:r>
      <w:r>
        <w:rPr>
          <w:rFonts w:ascii="仿宋" w:hAnsi="仿宋" w:eastAsia="仿宋" w:cs="仿宋"/>
          <w:sz w:val="24"/>
          <w:szCs w:val="24"/>
        </w:rPr>
        <w:t>美化，同时进行配图精准筛选及</w:t>
      </w:r>
      <w:r>
        <w:rPr>
          <w:rFonts w:hint="eastAsia" w:ascii="仿宋" w:hAnsi="仿宋" w:eastAsia="仿宋" w:cs="仿宋"/>
          <w:sz w:val="24"/>
          <w:szCs w:val="24"/>
        </w:rPr>
        <w:t>处理</w:t>
      </w:r>
      <w:r>
        <w:rPr>
          <w:rFonts w:ascii="仿宋" w:hAnsi="仿宋" w:eastAsia="仿宋" w:cs="仿宋"/>
          <w:sz w:val="24"/>
          <w:szCs w:val="24"/>
        </w:rPr>
        <w:t>；</w:t>
      </w:r>
    </w:p>
    <w:p w14:paraId="4BCECEEB"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风格统一：严格适配品牌色及调性，对所有图片进行统一调色，保证视觉一致性；图标、图表、插画</w:t>
      </w:r>
      <w:r>
        <w:rPr>
          <w:rFonts w:hint="eastAsia" w:ascii="仿宋" w:hAnsi="仿宋" w:eastAsia="仿宋" w:cs="仿宋"/>
          <w:sz w:val="24"/>
          <w:szCs w:val="24"/>
        </w:rPr>
        <w:t>等设计元素</w:t>
      </w:r>
      <w:r>
        <w:rPr>
          <w:rFonts w:ascii="仿宋" w:hAnsi="仿宋" w:eastAsia="仿宋" w:cs="仿宋"/>
          <w:sz w:val="24"/>
          <w:szCs w:val="24"/>
        </w:rPr>
        <w:t>统一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57E4EA35"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质量校对：开展多轮人工校对，覆盖中文/英文错字语病校对、页码/对齐等格式校对；</w:t>
      </w:r>
    </w:p>
    <w:p w14:paraId="7C87FE47"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修改配合：可积极配合进行多次修改，</w:t>
      </w:r>
      <w:r>
        <w:rPr>
          <w:rFonts w:ascii="仿宋" w:hAnsi="仿宋" w:eastAsia="仿宋" w:cs="仿宋"/>
          <w:sz w:val="24"/>
          <w:szCs w:val="24"/>
        </w:rPr>
        <w:t>工作日2小时内响应修改需求</w:t>
      </w:r>
      <w:r>
        <w:rPr>
          <w:rFonts w:hint="eastAsia" w:ascii="仿宋" w:hAnsi="仿宋" w:eastAsia="仿宋" w:cs="仿宋"/>
          <w:sz w:val="24"/>
          <w:szCs w:val="24"/>
        </w:rPr>
        <w:t>，紧急情况可配合加班修改，直至满足最终要求；</w:t>
      </w:r>
    </w:p>
    <w:p w14:paraId="03F9CF1F"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文件输出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</w:rPr>
        <w:t>完成印刷标准源文件输出，并提取逻辑图等设计元素，供 PPT、展板、网站后续使用；</w:t>
      </w:r>
    </w:p>
    <w:p w14:paraId="218B7FE7"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质保期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</w:rPr>
        <w:t>在不改变设计框架的情况下，一年内提供免费文字及图片更换服务。</w:t>
      </w:r>
    </w:p>
    <w:p w14:paraId="41052EC0">
      <w:p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（二）设计成果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7EDF6013">
      <w:pPr>
        <w:numPr>
          <w:ilvl w:val="0"/>
          <w:numId w:val="2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符合上述要求的完整年报设计方案（含封面、内页所有版面）；</w:t>
      </w:r>
    </w:p>
    <w:p w14:paraId="5A75C16C">
      <w:pPr>
        <w:numPr>
          <w:ilvl w:val="0"/>
          <w:numId w:val="2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印刷标准文件（可直接用于后续印刷/数码打印）；</w:t>
      </w:r>
    </w:p>
    <w:p w14:paraId="389E7BAE">
      <w:pPr>
        <w:numPr>
          <w:ilvl w:val="0"/>
          <w:numId w:val="2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可复用的设计元素文件（逻辑图、图表等，适配 PPT、展板、网站场景）；</w:t>
      </w:r>
    </w:p>
    <w:p w14:paraId="1F02887C">
      <w:pPr>
        <w:numPr>
          <w:ilvl w:val="0"/>
          <w:numId w:val="2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设计源文件及</w:t>
      </w:r>
      <w:r>
        <w:rPr>
          <w:rFonts w:ascii="仿宋" w:hAnsi="仿宋" w:eastAsia="仿宋" w:cs="仿宋"/>
          <w:sz w:val="24"/>
          <w:szCs w:val="24"/>
        </w:rPr>
        <w:t>高清可复制无水印定稿PDF</w:t>
      </w:r>
      <w:r>
        <w:rPr>
          <w:rFonts w:hint="eastAsia" w:ascii="仿宋" w:hAnsi="仿宋" w:eastAsia="仿宋" w:cs="仿宋"/>
          <w:sz w:val="24"/>
          <w:szCs w:val="24"/>
        </w:rPr>
        <w:t>，便于采购人后续修改或线上阅览；</w:t>
      </w:r>
    </w:p>
    <w:p w14:paraId="6F736182">
      <w:pPr>
        <w:numPr>
          <w:ilvl w:val="0"/>
          <w:numId w:val="2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完整图片素材包、最终定稿文字word版，便于采购人复制文字内容、使用图片。</w:t>
      </w:r>
    </w:p>
    <w:p w14:paraId="55A3B862">
      <w:pPr>
        <w:autoSpaceDE w:val="0"/>
        <w:autoSpaceDN w:val="0"/>
        <w:adjustRightInd w:val="0"/>
        <w:spacing w:line="400" w:lineRule="exact"/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三、制作部分</w:t>
      </w:r>
    </w:p>
    <w:p w14:paraId="04E55F6C"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以单次年报</w:t>
      </w:r>
      <w:r>
        <w:rPr>
          <w:rFonts w:hint="eastAsia" w:ascii="仿宋" w:hAnsi="仿宋" w:eastAsia="仿宋" w:cs="仿宋"/>
          <w:sz w:val="24"/>
          <w:szCs w:val="24"/>
        </w:rPr>
        <w:t>成品</w:t>
      </w:r>
      <w:r>
        <w:rPr>
          <w:rFonts w:ascii="仿宋" w:hAnsi="仿宋" w:eastAsia="仿宋" w:cs="仿宋"/>
          <w:sz w:val="24"/>
          <w:szCs w:val="24"/>
        </w:rPr>
        <w:t>制作服务（对应</w:t>
      </w:r>
      <w:r>
        <w:rPr>
          <w:rFonts w:hint="eastAsia" w:ascii="仿宋" w:hAnsi="仿宋" w:eastAsia="仿宋" w:cs="仿宋"/>
          <w:sz w:val="24"/>
          <w:szCs w:val="24"/>
        </w:rPr>
        <w:t>250</w:t>
      </w:r>
      <w:r>
        <w:rPr>
          <w:rFonts w:ascii="仿宋" w:hAnsi="仿宋" w:eastAsia="仿宋" w:cs="仿宋"/>
          <w:sz w:val="24"/>
          <w:szCs w:val="24"/>
        </w:rPr>
        <w:t>册成品）为单位进行报价，制作过程需保障精准度，符合</w:t>
      </w:r>
      <w:r>
        <w:rPr>
          <w:rFonts w:hint="eastAsia" w:ascii="仿宋" w:hAnsi="仿宋" w:eastAsia="仿宋" w:cs="仿宋"/>
          <w:sz w:val="24"/>
          <w:szCs w:val="24"/>
        </w:rPr>
        <w:t>质量</w:t>
      </w:r>
      <w:r>
        <w:rPr>
          <w:rFonts w:ascii="仿宋" w:hAnsi="仿宋" w:eastAsia="仿宋" w:cs="仿宋"/>
          <w:sz w:val="24"/>
          <w:szCs w:val="24"/>
        </w:rPr>
        <w:t>要求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934F394">
      <w:p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（一）制作要求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1F712E76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制作保障：配备制作经理+设计师专人现场追色校样，确保</w:t>
      </w:r>
      <w:r>
        <w:rPr>
          <w:rFonts w:hint="eastAsia" w:ascii="仿宋" w:hAnsi="仿宋" w:eastAsia="仿宋" w:cs="仿宋"/>
          <w:sz w:val="24"/>
          <w:szCs w:val="24"/>
        </w:rPr>
        <w:t>成品</w:t>
      </w:r>
      <w:r>
        <w:rPr>
          <w:rFonts w:ascii="仿宋" w:hAnsi="仿宋" w:eastAsia="仿宋" w:cs="仿宋"/>
          <w:sz w:val="24"/>
          <w:szCs w:val="24"/>
        </w:rPr>
        <w:t>制作效果与设计方案一致；</w:t>
      </w:r>
    </w:p>
    <w:p w14:paraId="54103976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规格参数：</w:t>
      </w:r>
    </w:p>
    <w:p w14:paraId="0D79407B">
      <w:pPr>
        <w:numPr>
          <w:ilvl w:val="1"/>
          <w:numId w:val="3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P 数：</w:t>
      </w:r>
      <w:r>
        <w:rPr>
          <w:rFonts w:ascii="仿宋" w:hAnsi="仿宋" w:eastAsia="仿宋" w:cs="仿宋"/>
          <w:b/>
          <w:bCs/>
          <w:sz w:val="24"/>
          <w:szCs w:val="24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50</w:t>
      </w:r>
      <w:r>
        <w:rPr>
          <w:rFonts w:ascii="仿宋" w:hAnsi="仿宋" w:eastAsia="仿宋" w:cs="仿宋"/>
          <w:b/>
          <w:bCs/>
          <w:sz w:val="24"/>
          <w:szCs w:val="24"/>
        </w:rPr>
        <w:t>P</w:t>
      </w:r>
      <w:bookmarkStart w:id="4" w:name="_GoBack"/>
      <w:bookmarkEnd w:id="4"/>
      <w:r>
        <w:rPr>
          <w:rFonts w:ascii="仿宋" w:hAnsi="仿宋" w:eastAsia="仿宋" w:cs="仿宋"/>
          <w:sz w:val="24"/>
          <w:szCs w:val="24"/>
        </w:rPr>
        <w:t>；</w:t>
      </w:r>
    </w:p>
    <w:p w14:paraId="7FAB75A3">
      <w:pPr>
        <w:numPr>
          <w:ilvl w:val="1"/>
          <w:numId w:val="3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数量：</w:t>
      </w:r>
      <w:r>
        <w:rPr>
          <w:rFonts w:hint="eastAsia" w:ascii="仿宋" w:hAnsi="仿宋" w:eastAsia="仿宋" w:cs="仿宋"/>
          <w:sz w:val="24"/>
          <w:szCs w:val="24"/>
        </w:rPr>
        <w:t>250</w:t>
      </w:r>
      <w:r>
        <w:rPr>
          <w:rFonts w:ascii="仿宋" w:hAnsi="仿宋" w:eastAsia="仿宋" w:cs="仿宋"/>
          <w:sz w:val="24"/>
          <w:szCs w:val="24"/>
        </w:rPr>
        <w:t>册；</w:t>
      </w:r>
    </w:p>
    <w:p w14:paraId="6FCCEEF0">
      <w:pPr>
        <w:numPr>
          <w:ilvl w:val="1"/>
          <w:numId w:val="3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尺寸：210毫米×285毫米（竖版）；</w:t>
      </w:r>
    </w:p>
    <w:p w14:paraId="23F76FCA">
      <w:pPr>
        <w:numPr>
          <w:ilvl w:val="1"/>
          <w:numId w:val="3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用纸：封面为250克铜版纸，内页为128克铜版纸；纸面匀度高、吸墨均匀、无杂点无掉粉</w:t>
      </w:r>
    </w:p>
    <w:p w14:paraId="668862EF">
      <w:pPr>
        <w:numPr>
          <w:ilvl w:val="1"/>
          <w:numId w:val="3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装订方式：胶装，成品需装箱。</w:t>
      </w:r>
    </w:p>
    <w:p w14:paraId="194860C4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工艺要求：封面封底覆亚膜，覆膜无气泡、无褶皱、无划痕、边角不起翘，耐磨防刮、防指纹；</w:t>
      </w:r>
    </w:p>
    <w:p w14:paraId="08B4EEF0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运送要求：采用防水防护打包方式，完成装箱后运输送货上门</w:t>
      </w:r>
      <w:r>
        <w:rPr>
          <w:rFonts w:hint="eastAsia" w:ascii="仿宋" w:hAnsi="仿宋" w:eastAsia="仿宋" w:cs="仿宋"/>
          <w:sz w:val="24"/>
          <w:szCs w:val="24"/>
        </w:rPr>
        <w:t>，送到客户指定地点，</w:t>
      </w:r>
      <w:r>
        <w:rPr>
          <w:rFonts w:ascii="仿宋" w:hAnsi="仿宋" w:eastAsia="仿宋" w:cs="仿宋"/>
          <w:sz w:val="24"/>
          <w:szCs w:val="24"/>
        </w:rPr>
        <w:t>完成卸货、堆叠摆放。</w:t>
      </w:r>
    </w:p>
    <w:p w14:paraId="25468978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特殊要求：需先进行打样确认，支持加急</w:t>
      </w:r>
      <w:r>
        <w:rPr>
          <w:rFonts w:hint="eastAsia" w:ascii="仿宋" w:hAnsi="仿宋" w:eastAsia="仿宋" w:cs="仿宋"/>
          <w:sz w:val="24"/>
          <w:szCs w:val="24"/>
        </w:rPr>
        <w:t>优先</w:t>
      </w:r>
      <w:r>
        <w:rPr>
          <w:rFonts w:ascii="仿宋" w:hAnsi="仿宋" w:eastAsia="仿宋" w:cs="仿宋"/>
          <w:sz w:val="24"/>
          <w:szCs w:val="24"/>
        </w:rPr>
        <w:t>处理，成品需逐本检查无瑕疵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ascii="仿宋" w:hAnsi="仿宋" w:eastAsia="仿宋" w:cs="仿宋"/>
          <w:sz w:val="24"/>
          <w:szCs w:val="24"/>
        </w:rPr>
        <w:t>交付成品合格率100%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708C8BF1">
      <w:pPr>
        <w:autoSpaceDE w:val="0"/>
        <w:autoSpaceDN w:val="0"/>
        <w:adjustRightInd w:val="0"/>
        <w:spacing w:line="400" w:lineRule="exact"/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四、翻译服务部分</w:t>
      </w:r>
    </w:p>
    <w:p w14:paraId="50FA956D">
      <w:pPr>
        <w:autoSpaceDE w:val="0"/>
        <w:autoSpaceDN w:val="0"/>
        <w:adjustRightInd w:val="0"/>
        <w:spacing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以单次年报中文译英文服务（对应</w:t>
      </w:r>
      <w:bookmarkStart w:id="3" w:name="OLE_LINK2"/>
      <w:r>
        <w:rPr>
          <w:rFonts w:hint="eastAsia" w:ascii="仿宋" w:hAnsi="仿宋" w:eastAsia="仿宋" w:cs="仿宋"/>
          <w:sz w:val="24"/>
          <w:szCs w:val="24"/>
        </w:rPr>
        <w:t>69175</w:t>
      </w:r>
      <w:bookmarkEnd w:id="3"/>
      <w:r>
        <w:rPr>
          <w:rFonts w:ascii="仿宋" w:hAnsi="仿宋" w:eastAsia="仿宋" w:cs="仿宋"/>
          <w:sz w:val="24"/>
          <w:szCs w:val="24"/>
        </w:rPr>
        <w:t>字）为单位进行报价，需保障医学专业术语准确性。</w:t>
      </w:r>
    </w:p>
    <w:p w14:paraId="73010C20">
      <w:p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（一）服务要求</w:t>
      </w:r>
      <w:r>
        <w:rPr>
          <w:rFonts w:hint="eastAsia" w:ascii="仿宋" w:hAnsi="仿宋" w:eastAsia="仿宋" w:cs="仿宋"/>
          <w:sz w:val="24"/>
          <w:szCs w:val="24"/>
        </w:rPr>
        <w:t>:</w:t>
      </w:r>
    </w:p>
    <w:p w14:paraId="0A3B273B">
      <w:pPr>
        <w:numPr>
          <w:ilvl w:val="0"/>
          <w:numId w:val="4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团队配置：3人专项翻译团队，团队成员需熟悉医学行业，具备医学专业术语处理能力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ascii="仿宋" w:hAnsi="仿宋" w:eastAsia="仿宋" w:cs="仿宋"/>
          <w:sz w:val="24"/>
          <w:szCs w:val="24"/>
        </w:rPr>
        <w:t>熟知国内医疗行业官方英文译名、国标医学术语库，适配医疗机构年报行文调性；</w:t>
      </w:r>
    </w:p>
    <w:p w14:paraId="1A5CC2CD">
      <w:pPr>
        <w:numPr>
          <w:ilvl w:val="0"/>
          <w:numId w:val="4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翻译范围：完成整本年报核定69175个中文有效汉字全量英译的翻译服务；</w:t>
      </w:r>
    </w:p>
    <w:p w14:paraId="73A9E712">
      <w:pPr>
        <w:numPr>
          <w:ilvl w:val="0"/>
          <w:numId w:val="4"/>
        </w:numPr>
        <w:autoSpaceDE w:val="0"/>
        <w:autoSpaceDN w:val="0"/>
        <w:adjustRightInd w:val="0"/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质量保障：英文语法严谨、句式正式合规，符合海外商务阅读、官方公示行文规范，语义完全贴合中文原文，无增译、漏译、语义偏差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ascii="仿宋" w:hAnsi="仿宋" w:eastAsia="仿宋" w:cs="仿宋"/>
          <w:sz w:val="24"/>
          <w:szCs w:val="24"/>
        </w:rPr>
        <w:t>翻译后需</w:t>
      </w:r>
      <w:r>
        <w:rPr>
          <w:rFonts w:hint="eastAsia" w:ascii="仿宋" w:hAnsi="仿宋" w:eastAsia="仿宋" w:cs="仿宋"/>
          <w:sz w:val="24"/>
          <w:szCs w:val="24"/>
        </w:rPr>
        <w:t>有专人</w:t>
      </w:r>
      <w:r>
        <w:rPr>
          <w:rFonts w:ascii="仿宋" w:hAnsi="仿宋" w:eastAsia="仿宋" w:cs="仿宋"/>
          <w:sz w:val="24"/>
          <w:szCs w:val="24"/>
        </w:rPr>
        <w:t>进行术语校对检查，确保无术语错误、语义偏差及语法</w:t>
      </w:r>
      <w:r>
        <w:rPr>
          <w:rFonts w:hint="eastAsia" w:ascii="仿宋" w:hAnsi="仿宋" w:eastAsia="仿宋" w:cs="仿宋"/>
          <w:sz w:val="24"/>
          <w:szCs w:val="24"/>
        </w:rPr>
        <w:t>等</w:t>
      </w:r>
      <w:r>
        <w:rPr>
          <w:rFonts w:ascii="仿宋" w:hAnsi="仿宋" w:eastAsia="仿宋" w:cs="仿宋"/>
          <w:sz w:val="24"/>
          <w:szCs w:val="24"/>
        </w:rPr>
        <w:t>问题。</w:t>
      </w:r>
    </w:p>
    <w:p w14:paraId="58128B02">
      <w:pPr>
        <w:autoSpaceDE w:val="0"/>
        <w:autoSpaceDN w:val="0"/>
        <w:adjustRightInd w:val="0"/>
        <w:rPr>
          <w:rFonts w:ascii="仿宋" w:hAnsi="仿宋" w:eastAsia="仿宋" w:cs="仿宋"/>
          <w:b/>
          <w:bCs/>
          <w:sz w:val="24"/>
          <w:szCs w:val="24"/>
        </w:rPr>
      </w:pPr>
    </w:p>
    <w:p w14:paraId="458A9540">
      <w:pPr>
        <w:autoSpaceDE w:val="0"/>
        <w:autoSpaceDN w:val="0"/>
        <w:adjustRightInd w:val="0"/>
        <w:rPr>
          <w:rFonts w:ascii="仿宋" w:hAnsi="仿宋" w:eastAsia="仿宋" w:cs="仿宋"/>
          <w:sz w:val="24"/>
          <w:szCs w:val="24"/>
        </w:rPr>
      </w:pPr>
    </w:p>
    <w:p w14:paraId="3F925930">
      <w:pPr/>
      <w:r>
        <w:rPr>
          <w:rFonts w:hint="eastAsia"/>
        </w:rPr>
        <w:t>货币单位：</w:t>
      </w:r>
    </w:p>
    <w:tbl>
      <w:tblPr>
        <w:tblStyle w:val="16"/>
        <w:tblW w:w="8760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046"/>
        <w:gridCol w:w="1000"/>
        <w:gridCol w:w="2755"/>
      </w:tblGrid>
      <w:tr w14:paraId="7FFB9A69">
        <w:tblPrEx>
          <w:tblLayout w:type="fixed"/>
        </w:tblPrEx>
        <w:trPr>
          <w:trHeight w:val="336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46D7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83E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A5C8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C786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  <w:p w14:paraId="3D945E8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（含税，元）</w:t>
            </w:r>
          </w:p>
        </w:tc>
      </w:tr>
      <w:tr w14:paraId="46AD6409">
        <w:tblPrEx>
          <w:tblLayout w:type="fixed"/>
        </w:tblPrEx>
        <w:trPr>
          <w:trHeight w:val="567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FBCE1">
            <w:pPr/>
            <w:r>
              <w:rPr>
                <w:rFonts w:hint="eastAsia"/>
              </w:rPr>
              <w:t>1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E04FD">
            <w:pPr/>
            <w:r>
              <w:rPr>
                <w:rFonts w:hint="eastAsia"/>
              </w:rPr>
              <w:t>年报设计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2447D">
            <w:pPr/>
            <w:r>
              <w:rPr>
                <w:rFonts w:hint="eastAsia"/>
              </w:rPr>
              <w:t>套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A3C70">
            <w:pPr/>
          </w:p>
        </w:tc>
      </w:tr>
      <w:tr w14:paraId="77EBD515">
        <w:tblPrEx>
          <w:tblLayout w:type="fixed"/>
        </w:tblPrEx>
        <w:trPr>
          <w:trHeight w:val="567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394D3">
            <w:pPr/>
            <w:r>
              <w:rPr>
                <w:rFonts w:hint="eastAsia"/>
              </w:rPr>
              <w:t>2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1172E">
            <w:pPr/>
            <w:r>
              <w:rPr>
                <w:rFonts w:hint="eastAsia"/>
              </w:rPr>
              <w:t>年报制作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2FFD9">
            <w:pPr/>
            <w:r>
              <w:rPr>
                <w:rFonts w:hint="eastAsia"/>
              </w:rPr>
              <w:t>250册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E1441">
            <w:pPr/>
          </w:p>
        </w:tc>
      </w:tr>
      <w:tr w14:paraId="2E0F740E">
        <w:tblPrEx>
          <w:tblLayout w:type="fixed"/>
        </w:tblPrEx>
        <w:trPr>
          <w:trHeight w:val="567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A6DCE">
            <w:pPr/>
            <w:r>
              <w:rPr>
                <w:rFonts w:hint="eastAsia"/>
              </w:rPr>
              <w:t>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35653">
            <w:pPr/>
            <w:r>
              <w:rPr>
                <w:rFonts w:hint="eastAsia"/>
              </w:rPr>
              <w:t>翻译服务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36381">
            <w:pPr/>
            <w:r>
              <w:rPr>
                <w:rFonts w:hint="eastAsia"/>
              </w:rPr>
              <w:t>套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D0BEE">
            <w:pPr/>
          </w:p>
        </w:tc>
      </w:tr>
      <w:tr w14:paraId="4BDAF5F7">
        <w:tblPrEx>
          <w:tblLayout w:type="fixed"/>
        </w:tblPrEx>
        <w:trPr>
          <w:trHeight w:val="683" w:hRule="atLeast"/>
        </w:trPr>
        <w:tc>
          <w:tcPr>
            <w:tcW w:w="6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660A">
            <w:pPr/>
            <w:r>
              <w:rPr>
                <w:rFonts w:hint="eastAsia"/>
              </w:rPr>
              <w:t>合计（含税，元，此报价仅作为计算价格分依据）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C6C7F">
            <w:pPr/>
          </w:p>
        </w:tc>
      </w:tr>
    </w:tbl>
    <w:p w14:paraId="2A1AD68E">
      <w:pPr/>
    </w:p>
    <w:p w14:paraId="7D385CCA">
      <w:pPr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FangSong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96B91"/>
    <w:multiLevelType w:val="multilevel"/>
    <w:tmpl w:val="1D296B9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4"/>
      <w:numFmt w:val="japaneseCounting"/>
      <w:lvlText w:val="%3、"/>
      <w:lvlJc w:val="left"/>
      <w:pPr>
        <w:ind w:left="252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1C90E4B"/>
    <w:multiLevelType w:val="multilevel"/>
    <w:tmpl w:val="41C90E4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3194843"/>
    <w:multiLevelType w:val="multilevel"/>
    <w:tmpl w:val="4319484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8AF408B"/>
    <w:multiLevelType w:val="multilevel"/>
    <w:tmpl w:val="68AF408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0">
    <w:name w:val="List Paragraph"/>
    <w:basedOn w:val="1"/>
    <w:qFormat/>
    <w:uiPriority w:val="99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customStyle="1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5"/>
    <w:link w:val="12"/>
    <w:uiPriority w:val="99"/>
    <w:rPr>
      <w:sz w:val="18"/>
      <w:szCs w:val="18"/>
    </w:rPr>
  </w:style>
  <w:style w:type="character" w:customStyle="1" w:styleId="36">
    <w:name w:val="页脚 字符"/>
    <w:basedOn w:val="15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223</Words>
  <Characters>1277</Characters>
  <Lines>10</Lines>
  <Paragraphs>2</Paragraphs>
  <ScaleCrop>false</ScaleCrop>
  <LinksUpToDate>false</LinksUpToDate>
  <CharactersWithSpaces>1498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2026-06-29T08:28:00Z</dcterms:created>
  <dc:creator>15752</dc:creator>
  <cp:lastModifiedBy>iPhone</cp:lastModifiedBy>
  <dcterms:modified xsi:type="dcterms:W3CDTF">2026-06-29T08:41:48Z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4378D179651604EB4CBF416A78075991_33</vt:lpwstr>
  </property>
  <property fmtid="{D5CDD505-2E9C-101B-9397-08002B2CF9AE}" pid="3" name="KSOProductBuildVer">
    <vt:lpwstr>2052-26.6.1</vt:lpwstr>
  </property>
</Properties>
</file>