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F5409">
      <w:pPr>
        <w:pStyle w:val="16"/>
        <w:widowControl/>
        <w:shd w:val="clear" w:color="auto" w:fill="FFFFFF"/>
      </w:pPr>
      <w:r>
        <w:t>老年医学一科专家自媒体账号运营创作服务项目采购需求</w:t>
      </w:r>
    </w:p>
    <w:p w14:paraId="3C1E2DEA">
      <w:pPr>
        <w:pStyle w:val="2"/>
        <w:widowControl/>
        <w:numPr>
          <w:ilvl w:val="0"/>
          <w:numId w:val="1"/>
        </w:numPr>
        <w:shd w:val="clear" w:color="auto" w:fill="FFFFFF"/>
        <w:rPr>
          <w:rFonts w:ascii="黑体" w:hAnsi="黑体" w:cs="黑体"/>
        </w:rPr>
      </w:pPr>
      <w:r>
        <w:t>服务周期及对象</w:t>
      </w:r>
    </w:p>
    <w:p w14:paraId="3C3D1EAC">
      <w:pPr>
        <w:pStyle w:val="11"/>
        <w:widowControl/>
        <w:numPr>
          <w:ilvl w:val="0"/>
          <w:numId w:val="2"/>
        </w:numPr>
        <w:ind w:firstLineChars="0"/>
        <w:rPr>
          <w:b/>
          <w:color w:val="0F1115"/>
        </w:rPr>
      </w:pPr>
      <w:r>
        <w:rPr>
          <w:color w:val="0F1115"/>
        </w:rPr>
        <w:t>服务周期：自合同签订之日起</w:t>
      </w:r>
      <w:r>
        <w:rPr>
          <w:rFonts w:hint="eastAsia"/>
          <w:color w:val="0F1115"/>
          <w:lang w:val="en-US" w:eastAsia="zh-CN"/>
        </w:rPr>
        <w:t>6个月</w:t>
      </w:r>
      <w:r>
        <w:rPr>
          <w:color w:val="0F1115"/>
        </w:rPr>
        <w:t>。供应商须在合同周期内完成约定的服务内容。</w:t>
      </w:r>
    </w:p>
    <w:p w14:paraId="65ACC1F8">
      <w:pPr>
        <w:pStyle w:val="11"/>
        <w:widowControl/>
        <w:numPr>
          <w:ilvl w:val="0"/>
          <w:numId w:val="2"/>
        </w:numPr>
        <w:ind w:firstLineChars="0"/>
        <w:rPr>
          <w:b/>
          <w:color w:val="0F1115"/>
        </w:rPr>
      </w:pPr>
      <w:r>
        <w:rPr>
          <w:color w:val="0F1115"/>
        </w:rPr>
        <w:t>服务对象：航天中心医院宣传中心指定老年医学一科专家的自媒体账号。服务专家人数为1人</w:t>
      </w:r>
      <w:r>
        <w:rPr>
          <w:rFonts w:eastAsia="宋体"/>
          <w:color w:val="0F1115"/>
        </w:rPr>
        <w:t>，需运营抖音、快手、小红书、百家号</w:t>
      </w:r>
      <w:r>
        <w:rPr>
          <w:rFonts w:hint="eastAsia" w:eastAsia="宋体"/>
          <w:color w:val="0F1115"/>
        </w:rPr>
        <w:t>、微博</w:t>
      </w:r>
      <w:r>
        <w:rPr>
          <w:rFonts w:eastAsia="宋体"/>
          <w:color w:val="0F1115"/>
        </w:rPr>
        <w:t>共计5个平台账号。</w:t>
      </w:r>
    </w:p>
    <w:p w14:paraId="5C07158A">
      <w:pPr>
        <w:pStyle w:val="2"/>
        <w:widowControl/>
        <w:numPr>
          <w:ilvl w:val="0"/>
          <w:numId w:val="1"/>
        </w:numPr>
        <w:shd w:val="clear" w:color="auto" w:fill="FFFFFF"/>
        <w:rPr>
          <w:rFonts w:ascii="黑体" w:hAnsi="黑体" w:cs="黑体"/>
        </w:rPr>
      </w:pPr>
      <w:r>
        <w:t>专家自媒体账号运营创作服务内容</w:t>
      </w:r>
    </w:p>
    <w:p w14:paraId="60B490DB">
      <w:pPr>
        <w:pStyle w:val="11"/>
        <w:widowControl/>
        <w:ind w:firstLine="480"/>
        <w:rPr>
          <w:color w:val="0F1115"/>
        </w:rPr>
      </w:pPr>
      <w:r>
        <w:rPr>
          <w:color w:val="0F1115"/>
        </w:rPr>
        <w:t>包括专家自媒体账号定位策划、短视频选题与脚本创作、拍摄制作、发布支持、日常运营、数据复盘及相关传播服务。</w:t>
      </w:r>
    </w:p>
    <w:p w14:paraId="15A48D2C">
      <w:pPr>
        <w:pStyle w:val="3"/>
        <w:widowControl/>
        <w:numPr>
          <w:ilvl w:val="0"/>
          <w:numId w:val="3"/>
        </w:numPr>
        <w:shd w:val="clear" w:color="auto" w:fill="FFFFFF"/>
        <w:rPr>
          <w:rFonts w:ascii="黑体" w:hAnsi="黑体" w:cs="黑体"/>
        </w:rPr>
      </w:pPr>
      <w:r>
        <w:t>账号运营创作服务方案设计</w:t>
      </w:r>
    </w:p>
    <w:p w14:paraId="4AB2F212">
      <w:pPr>
        <w:pStyle w:val="11"/>
        <w:widowControl/>
        <w:ind w:firstLine="480"/>
        <w:rPr>
          <w:color w:val="0F1115"/>
        </w:rPr>
      </w:pPr>
      <w:r>
        <w:rPr>
          <w:color w:val="0F1115"/>
        </w:rPr>
        <w:t>供应商须结合专家专业方向、表达特点、受众需求和平台传播规律，挖掘差异化账号定位、人设表达和视觉风格，为1名专家形成定制化的账号运营创作方案。</w:t>
      </w:r>
    </w:p>
    <w:p w14:paraId="5D182E1F">
      <w:pPr>
        <w:pStyle w:val="3"/>
        <w:widowControl/>
        <w:numPr>
          <w:ilvl w:val="0"/>
          <w:numId w:val="3"/>
        </w:numPr>
        <w:shd w:val="clear" w:color="auto" w:fill="FFFFFF"/>
        <w:rPr>
          <w:rFonts w:ascii="黑体" w:hAnsi="黑体" w:cs="黑体"/>
        </w:rPr>
      </w:pPr>
      <w:r>
        <w:t>创作内容生产及服务</w:t>
      </w:r>
    </w:p>
    <w:p w14:paraId="784CE0FF">
      <w:pPr>
        <w:pStyle w:val="11"/>
        <w:widowControl/>
        <w:ind w:firstLine="480"/>
        <w:rPr>
          <w:color w:val="0F1115"/>
        </w:rPr>
      </w:pPr>
      <w:r>
        <w:rPr>
          <w:color w:val="0F1115"/>
        </w:rPr>
        <w:t>甲方对方案认可后，供应商应围绕专家专业方向、医院重点病种、老年患者常见问题、慢病管理、康复指导、用药安全、营养管理、跌倒预防、认知功能管理、家属照护指导、科室服务流程及医院人文等内容开展详细创作内容策划。</w:t>
      </w:r>
    </w:p>
    <w:p w14:paraId="055C272A">
      <w:pPr>
        <w:pStyle w:val="11"/>
        <w:widowControl/>
        <w:ind w:firstLine="480"/>
        <w:rPr>
          <w:rFonts w:eastAsia="宋体"/>
          <w:color w:val="0F1115"/>
        </w:rPr>
      </w:pPr>
      <w:r>
        <w:rPr>
          <w:rFonts w:eastAsia="宋体"/>
          <w:color w:val="0F1115"/>
        </w:rPr>
        <w:t>创意表现形式以双方确认的月度选题策划为准，乙方在服务期内根据专家配合度、医院拍摄条件及平台传播效果，合理采用不少于3类内容形式。涉及演员、外景、动画定制、数字人建模、特殊包装、患者授权、专项拍摄场景等超出常规口播及院内纪实拍摄范围的内容，双方另行确认费用及周期。</w:t>
      </w:r>
      <w:r>
        <w:rPr>
          <w:rFonts w:hint="eastAsia" w:eastAsia="宋体"/>
          <w:color w:val="0F1115"/>
        </w:rPr>
        <w:t>因专家档期、配合度、临时停诊或其他非乙方原因影响项目实施的，相应工作量、交付周期及付款节点顺延，不视为乙方违约。</w:t>
      </w:r>
    </w:p>
    <w:p w14:paraId="024ADCD4">
      <w:pPr>
        <w:widowControl/>
        <w:spacing w:before="100" w:beforeAutospacing="1" w:after="100" w:afterAutospacing="1"/>
        <w:ind w:firstLine="420"/>
        <w:jc w:val="left"/>
        <w:rPr>
          <w:rFonts w:hint="eastAsia"/>
          <w:color w:val="0F1115"/>
        </w:rPr>
      </w:pPr>
      <w:r>
        <w:rPr>
          <w:color w:val="0F1115"/>
        </w:rPr>
        <w:t>供应商还须为创作内容提供定时发布、标题优化、封面适配、字幕添加、节目包装、内容初审服务。供应商需为账号保持稳定更新频率，服务期内累计制作不少于150条有效视频作为基础工作量（有效视频指经医院审核通过、内容不重复、具备公开发布条件的成片。如同一条视频在多个平台重复发布，仅算作1条）。每条视频含2轮修改，</w:t>
      </w:r>
      <w:r>
        <w:rPr>
          <w:rFonts w:hint="eastAsia"/>
          <w:color w:val="0F1115"/>
          <w:lang w:val="en-US" w:eastAsia="zh-CN"/>
        </w:rPr>
        <w:t>因大幅度调整脚本导致的重新录制拍摄剪辑将视作新增1条视频，乙方需要提供两条视频的全部录制文件和成片文件作为验收证明。</w:t>
      </w:r>
    </w:p>
    <w:p w14:paraId="426F102D">
      <w:pPr>
        <w:pStyle w:val="3"/>
        <w:widowControl/>
        <w:numPr>
          <w:ilvl w:val="0"/>
          <w:numId w:val="3"/>
        </w:numPr>
        <w:shd w:val="clear" w:color="auto" w:fill="FFFFFF"/>
        <w:rPr>
          <w:rFonts w:ascii="黑体" w:hAnsi="黑体" w:cs="黑体"/>
        </w:rPr>
      </w:pPr>
      <w:r>
        <w:rPr>
          <w:rFonts w:hint="eastAsia"/>
          <w:lang w:val="en-US" w:eastAsia="zh-CN"/>
        </w:rPr>
        <w:t>评论、私信整理及回复服务</w:t>
      </w:r>
    </w:p>
    <w:p w14:paraId="12060858">
      <w:pPr>
        <w:pStyle w:val="11"/>
        <w:widowControl/>
        <w:ind w:firstLine="480"/>
        <w:rPr>
          <w:rFonts w:eastAsia="宋体"/>
          <w:color w:val="0F1115"/>
        </w:rPr>
      </w:pPr>
      <w:r>
        <w:rPr>
          <w:color w:val="0F1115"/>
        </w:rPr>
        <w:t>供应商需为专家账号提供评论及私信整理、回复等日常运</w:t>
      </w:r>
      <w:r>
        <w:rPr>
          <w:rFonts w:eastAsia="宋体"/>
          <w:color w:val="0F1115"/>
        </w:rPr>
        <w:t>营服务。要求涉及医疗专业问题的评论或私信，乙方</w:t>
      </w:r>
      <w:r>
        <w:rPr>
          <w:rFonts w:hint="eastAsia" w:eastAsia="宋体"/>
          <w:color w:val="0F1115"/>
          <w:lang w:val="en-US" w:eastAsia="zh-CN"/>
        </w:rPr>
        <w:t>需定期</w:t>
      </w:r>
      <w:r>
        <w:rPr>
          <w:rFonts w:eastAsia="宋体"/>
          <w:color w:val="0F1115"/>
        </w:rPr>
        <w:t>整理、分级并转交甲方指定人；相关回复须使用甲方确认话术或经甲方审核后发布。</w:t>
      </w:r>
    </w:p>
    <w:p w14:paraId="6A99DFE2">
      <w:pPr>
        <w:pStyle w:val="3"/>
        <w:widowControl/>
        <w:numPr>
          <w:ilvl w:val="0"/>
          <w:numId w:val="3"/>
        </w:numPr>
        <w:shd w:val="clear" w:color="auto" w:fill="FFFFFF"/>
        <w:rPr>
          <w:rFonts w:ascii="黑体" w:hAnsi="黑体" w:cs="黑体"/>
        </w:rPr>
      </w:pPr>
      <w:r>
        <w:t>运营分析与复盘</w:t>
      </w:r>
    </w:p>
    <w:p w14:paraId="7E0C1B04">
      <w:pPr>
        <w:pStyle w:val="11"/>
        <w:widowControl/>
        <w:ind w:firstLine="480"/>
        <w:rPr>
          <w:color w:val="0F1115"/>
        </w:rPr>
      </w:pPr>
      <w:r>
        <w:rPr>
          <w:color w:val="0F1115"/>
        </w:rPr>
        <w:t>供应商须每月提供</w:t>
      </w:r>
      <w:r>
        <w:rPr>
          <w:rFonts w:hint="eastAsia"/>
          <w:color w:val="0F1115"/>
          <w:lang w:val="en-US" w:eastAsia="zh-CN"/>
        </w:rPr>
        <w:t>后台数据统计，</w:t>
      </w:r>
      <w:r>
        <w:rPr>
          <w:color w:val="0F1115"/>
        </w:rPr>
        <w:t>运营分析报告及优化建议，定期组织质量复盘会，并根据账号数据、用户反馈和医院传播重点动态调整内容策略。</w:t>
      </w:r>
    </w:p>
    <w:p w14:paraId="230DCFD0">
      <w:pPr>
        <w:pStyle w:val="3"/>
        <w:widowControl/>
        <w:numPr>
          <w:ilvl w:val="0"/>
          <w:numId w:val="3"/>
        </w:numPr>
        <w:shd w:val="clear" w:color="auto" w:fill="FFFFFF"/>
        <w:rPr>
          <w:rFonts w:ascii="黑体" w:hAnsi="黑体" w:cs="黑体"/>
        </w:rPr>
      </w:pPr>
      <w:r>
        <w:t>传播效果考核</w:t>
      </w:r>
    </w:p>
    <w:p w14:paraId="764C7E22">
      <w:pPr>
        <w:pStyle w:val="11"/>
        <w:widowControl/>
        <w:ind w:firstLine="480"/>
        <w:rPr>
          <w:color w:val="0F1115"/>
        </w:rPr>
      </w:pPr>
      <w:r>
        <w:rPr>
          <w:color w:val="0F1115"/>
        </w:rPr>
        <w:t>服务期内，所有运营视频累计</w:t>
      </w:r>
      <w:r>
        <w:rPr>
          <w:rFonts w:eastAsia="宋体"/>
          <w:color w:val="0F1115"/>
        </w:rPr>
        <w:t>总浏览量不低于100万次；单一平台粉丝净增量不低于1万。未达到约定传播效</w:t>
      </w:r>
      <w:r>
        <w:rPr>
          <w:color w:val="0F1115"/>
        </w:rPr>
        <w:t>果的，按照合同约定扣减相应服务费用。</w:t>
      </w:r>
    </w:p>
    <w:p w14:paraId="2EA856A9">
      <w:pPr>
        <w:pStyle w:val="2"/>
        <w:widowControl/>
        <w:numPr>
          <w:ilvl w:val="0"/>
          <w:numId w:val="1"/>
        </w:numPr>
        <w:shd w:val="clear" w:color="auto" w:fill="FFFFFF"/>
        <w:rPr>
          <w:rFonts w:ascii="黑体" w:hAnsi="黑体" w:cs="黑体"/>
        </w:rPr>
      </w:pPr>
      <w:r>
        <w:t>工作量、费用结算及报价要求</w:t>
      </w:r>
    </w:p>
    <w:p w14:paraId="09F1DA71">
      <w:pPr>
        <w:pStyle w:val="3"/>
        <w:widowControl/>
        <w:numPr>
          <w:ilvl w:val="0"/>
          <w:numId w:val="4"/>
        </w:numPr>
        <w:shd w:val="clear" w:color="auto" w:fill="FFFFFF"/>
        <w:rPr>
          <w:rFonts w:ascii="黑体" w:hAnsi="黑体" w:cs="黑体"/>
        </w:rPr>
      </w:pPr>
      <w:r>
        <w:t>服务基础工作量及基础费用</w:t>
      </w:r>
    </w:p>
    <w:p w14:paraId="35E38CD2">
      <w:pPr>
        <w:pStyle w:val="11"/>
        <w:widowControl/>
        <w:ind w:firstLine="480"/>
        <w:rPr>
          <w:color w:val="0F1115"/>
        </w:rPr>
      </w:pPr>
      <w:r>
        <w:rPr>
          <w:color w:val="0F1115"/>
        </w:rPr>
        <w:t>本项目基础服务工作量为：</w:t>
      </w:r>
    </w:p>
    <w:p w14:paraId="71E4FEA6">
      <w:pPr>
        <w:pStyle w:val="11"/>
        <w:widowControl/>
        <w:numPr>
          <w:ilvl w:val="0"/>
          <w:numId w:val="5"/>
        </w:numPr>
        <w:ind w:firstLineChars="0"/>
      </w:pPr>
      <w:r>
        <w:rPr>
          <w:color w:val="0F1115"/>
        </w:rPr>
        <w:t>自合同签订之日起1年的专家自媒体账号运营创作服务。包含1位专家共5个账号。</w:t>
      </w:r>
    </w:p>
    <w:p w14:paraId="1B69A3CC">
      <w:pPr>
        <w:pStyle w:val="11"/>
        <w:widowControl/>
        <w:numPr>
          <w:ilvl w:val="0"/>
          <w:numId w:val="5"/>
        </w:numPr>
        <w:ind w:firstLineChars="0"/>
      </w:pPr>
      <w:r>
        <w:rPr>
          <w:color w:val="0F1115"/>
        </w:rPr>
        <w:t>不少于150条有效短视频内容生产发布。</w:t>
      </w:r>
    </w:p>
    <w:p w14:paraId="415EC994">
      <w:pPr>
        <w:pStyle w:val="11"/>
        <w:widowControl/>
        <w:numPr>
          <w:ilvl w:val="0"/>
          <w:numId w:val="5"/>
        </w:numPr>
        <w:ind w:firstLineChars="0"/>
        <w:rPr>
          <w:rFonts w:hint="eastAsia"/>
          <w:color w:val="0F1115"/>
        </w:rPr>
      </w:pPr>
      <w:r>
        <w:rPr>
          <w:color w:val="0F1115"/>
        </w:rPr>
        <w:t>基础服务内容按固定总价结算，固定总价应覆盖账号策划、脚本创作、拍摄制作、后期包装、发布支持、日常运营、数据复盘及项目管理等全部基础服务。</w:t>
      </w:r>
    </w:p>
    <w:p w14:paraId="27DB622F">
      <w:pPr>
        <w:pStyle w:val="3"/>
        <w:widowControl/>
        <w:numPr>
          <w:ilvl w:val="0"/>
          <w:numId w:val="4"/>
        </w:numPr>
        <w:shd w:val="clear" w:color="auto" w:fill="FFFFFF"/>
        <w:rPr>
          <w:rFonts w:ascii="黑体" w:hAnsi="黑体" w:cs="黑体"/>
        </w:rPr>
      </w:pPr>
      <w:r>
        <w:t>超出基础工作量结算</w:t>
      </w:r>
    </w:p>
    <w:p w14:paraId="264CE16A">
      <w:pPr>
        <w:pStyle w:val="11"/>
        <w:widowControl/>
        <w:ind w:firstLine="480"/>
        <w:rPr>
          <w:color w:val="0F1115"/>
        </w:rPr>
      </w:pPr>
      <w:r>
        <w:rPr>
          <w:color w:val="0F1115"/>
        </w:rPr>
        <w:t>如采购人根据实际工作需要，要求供应商在基础工作量之外增加有效短视频制作数量，经采购人书面确认后，超出150条部分按固定单价/条进行额外结算。超出基础工作量部分的短视频应在创作内容生产流程、服务与质量上与基础工作量部分保持一致。</w:t>
      </w:r>
    </w:p>
    <w:p w14:paraId="7974687E">
      <w:pPr>
        <w:pStyle w:val="11"/>
        <w:widowControl/>
        <w:ind w:firstLine="480"/>
        <w:rPr>
          <w:color w:val="0F1115"/>
        </w:rPr>
      </w:pPr>
      <w:r>
        <w:rPr>
          <w:color w:val="0F1115"/>
        </w:rPr>
        <w:t>未经采购人书面确认的超量内容，不作为额外结算依据。</w:t>
      </w:r>
    </w:p>
    <w:p w14:paraId="7CB2DB9D">
      <w:pPr>
        <w:pStyle w:val="11"/>
        <w:widowControl/>
        <w:ind w:firstLine="480"/>
        <w:rPr>
          <w:color w:val="0F1115"/>
        </w:rPr>
      </w:pPr>
      <w:r>
        <w:rPr>
          <w:color w:val="0F1115"/>
        </w:rPr>
        <w:t>本项目合同总金额实行封顶管理，包含基础工作量固定总价及超出工作量费用在内，合同累计结算金额最高不得超过</w:t>
      </w:r>
      <w:r>
        <w:rPr>
          <w:rFonts w:hint="eastAsia"/>
          <w:color w:val="0F1115"/>
          <w:lang w:val="en-US" w:eastAsia="zh-CN"/>
        </w:rPr>
        <w:t>18</w:t>
      </w:r>
      <w:r>
        <w:rPr>
          <w:color w:val="0F1115"/>
        </w:rPr>
        <w:t>万元。</w:t>
      </w:r>
    </w:p>
    <w:p w14:paraId="1EE8EBD5">
      <w:pPr>
        <w:pStyle w:val="3"/>
        <w:widowControl/>
        <w:numPr>
          <w:ilvl w:val="0"/>
          <w:numId w:val="4"/>
        </w:numPr>
        <w:shd w:val="clear" w:color="auto" w:fill="FFFFFF"/>
        <w:rPr>
          <w:rFonts w:ascii="黑体" w:hAnsi="黑体" w:cs="黑体"/>
        </w:rPr>
      </w:pPr>
      <w:r>
        <w:t>报价要求</w:t>
      </w:r>
    </w:p>
    <w:p w14:paraId="65311762">
      <w:pPr>
        <w:pStyle w:val="11"/>
        <w:widowControl/>
        <w:ind w:firstLine="480"/>
        <w:rPr>
          <w:rFonts w:eastAsiaTheme="minorEastAsia"/>
        </w:rPr>
      </w:pPr>
      <w:r>
        <w:rPr>
          <w:color w:val="0F1115"/>
        </w:rPr>
        <w:t>供应商需在充分理解需求和工作量的基础上，进行以下报价：</w:t>
      </w:r>
    </w:p>
    <w:p w14:paraId="7045A791">
      <w:pPr>
        <w:pStyle w:val="11"/>
        <w:widowControl/>
        <w:numPr>
          <w:ilvl w:val="0"/>
          <w:numId w:val="6"/>
        </w:numPr>
        <w:ind w:firstLineChars="0"/>
      </w:pPr>
      <w:r>
        <w:rPr>
          <w:color w:val="0F1115"/>
        </w:rPr>
        <w:t>基础服务内容报价（覆盖1位专家、5个平台账号、150条基础视频及全部运营服务）；</w:t>
      </w:r>
    </w:p>
    <w:p w14:paraId="19DCE4AF">
      <w:pPr>
        <w:pStyle w:val="11"/>
        <w:widowControl/>
        <w:numPr>
          <w:ilvl w:val="0"/>
          <w:numId w:val="6"/>
        </w:numPr>
        <w:ind w:firstLineChars="0"/>
      </w:pPr>
      <w:r>
        <w:rPr>
          <w:color w:val="0F1115"/>
        </w:rPr>
        <w:t>超过基础服务内容部分的短视频单条价格。</w:t>
      </w:r>
    </w:p>
    <w:p w14:paraId="680811B7">
      <w:pPr>
        <w:pStyle w:val="2"/>
        <w:widowControl/>
        <w:numPr>
          <w:ilvl w:val="0"/>
          <w:numId w:val="1"/>
        </w:numPr>
        <w:shd w:val="clear" w:color="auto" w:fill="FFFFFF"/>
        <w:rPr>
          <w:rFonts w:ascii="黑体" w:hAnsi="黑体" w:cs="黑体"/>
        </w:rPr>
      </w:pPr>
      <w:r>
        <w:t>供应商资质与团队配置要求</w:t>
      </w:r>
    </w:p>
    <w:p w14:paraId="74EFD3E3">
      <w:pPr>
        <w:pStyle w:val="3"/>
        <w:widowControl/>
        <w:numPr>
          <w:ilvl w:val="0"/>
          <w:numId w:val="7"/>
        </w:numPr>
        <w:shd w:val="clear" w:color="auto" w:fill="FFFFFF"/>
        <w:rPr>
          <w:rFonts w:ascii="黑体" w:hAnsi="黑体" w:cs="黑体"/>
        </w:rPr>
      </w:pPr>
      <w:r>
        <w:t>服务响应能力</w:t>
      </w:r>
    </w:p>
    <w:p w14:paraId="057A2F4B">
      <w:pPr>
        <w:pStyle w:val="11"/>
        <w:widowControl/>
        <w:ind w:firstLine="480"/>
        <w:rPr>
          <w:color w:val="0F1115"/>
        </w:rPr>
      </w:pPr>
      <w:r>
        <w:rPr>
          <w:color w:val="0F1115"/>
        </w:rPr>
        <w:t>供应商须具备快速响应医院拍摄、沟通、修改和应急处置需求的能力，常规服务需求应在2小时内响应。</w:t>
      </w:r>
    </w:p>
    <w:p w14:paraId="5F7B6B1F">
      <w:pPr>
        <w:pStyle w:val="3"/>
        <w:widowControl/>
        <w:numPr>
          <w:ilvl w:val="0"/>
          <w:numId w:val="7"/>
        </w:numPr>
        <w:shd w:val="clear" w:color="auto" w:fill="FFFFFF"/>
      </w:pPr>
      <w:r>
        <w:t>行业经验与成功案例</w:t>
      </w:r>
    </w:p>
    <w:p w14:paraId="127D8084">
      <w:pPr>
        <w:pStyle w:val="11"/>
        <w:widowControl/>
        <w:ind w:firstLine="480"/>
      </w:pPr>
      <w:r>
        <w:rPr>
          <w:color w:val="0F1115"/>
        </w:rPr>
        <w:t>具备为公立三级医院或知名医疗机构提供新媒体内容策划与运营服务的成功经验，至少具有1个连续服务两年以上（含两年）的三级医院或知名医疗机构新媒体内容与运营服务案例，并提供包含服务周期、服务内容与成果的关键合同页及案例证明。</w:t>
      </w:r>
    </w:p>
    <w:p w14:paraId="1CE28D28">
      <w:pPr>
        <w:pStyle w:val="11"/>
        <w:widowControl/>
        <w:ind w:firstLine="480"/>
      </w:pPr>
      <w:r>
        <w:rPr>
          <w:color w:val="0F1115"/>
        </w:rPr>
        <w:t>具备成熟的医生个人或科室自媒体账号运营经验与成功案例，并提供后台截图、设计方案、案例证明。</w:t>
      </w:r>
    </w:p>
    <w:p w14:paraId="095BB85A">
      <w:pPr>
        <w:pStyle w:val="3"/>
        <w:widowControl/>
        <w:numPr>
          <w:ilvl w:val="0"/>
          <w:numId w:val="7"/>
        </w:numPr>
        <w:shd w:val="clear" w:color="auto" w:fill="FFFFFF"/>
      </w:pPr>
      <w:r>
        <w:t>内容传播能力</w:t>
      </w:r>
    </w:p>
    <w:p w14:paraId="05C84123">
      <w:pPr>
        <w:pStyle w:val="11"/>
        <w:widowControl/>
        <w:ind w:firstLine="480"/>
      </w:pPr>
      <w:r>
        <w:rPr>
          <w:color w:val="0F1115"/>
        </w:rPr>
        <w:t>须提供本公司运营的单条视频</w:t>
      </w:r>
      <w:bookmarkStart w:id="0" w:name="OLE_LINK1"/>
      <w:r>
        <w:rPr>
          <w:color w:val="0F1115"/>
        </w:rPr>
        <w:t>播放量</w:t>
      </w:r>
      <w:r>
        <w:rPr>
          <w:rFonts w:eastAsia="宋体"/>
          <w:color w:val="0F1115"/>
        </w:rPr>
        <w:t>超过50万</w:t>
      </w:r>
      <w:bookmarkEnd w:id="0"/>
      <w:r>
        <w:rPr>
          <w:rFonts w:hint="eastAsia" w:eastAsia="宋体"/>
          <w:color w:val="0F1115"/>
        </w:rPr>
        <w:t>或视频获得国家级媒体发布、评选活动提名/获奖</w:t>
      </w:r>
      <w:r>
        <w:rPr>
          <w:rFonts w:eastAsia="宋体"/>
          <w:color w:val="0F1115"/>
        </w:rPr>
        <w:t>的真实案例，并在述标</w:t>
      </w:r>
      <w:r>
        <w:rPr>
          <w:color w:val="0F1115"/>
        </w:rPr>
        <w:t>环节现场演示相关后台数据。</w:t>
      </w:r>
    </w:p>
    <w:p w14:paraId="170AA67F">
      <w:pPr>
        <w:pStyle w:val="11"/>
        <w:widowControl/>
        <w:ind w:firstLine="480"/>
      </w:pPr>
      <w:r>
        <w:rPr>
          <w:color w:val="0F1115"/>
        </w:rPr>
        <w:t>服务期内承诺在1个专家、5个平台账号的所有运营视频累计总浏览量不低于100万次，单一平台粉丝净增量不低于1万，并作为关键考核指标写入合同</w:t>
      </w:r>
    </w:p>
    <w:p w14:paraId="75EC7553">
      <w:pPr>
        <w:pStyle w:val="3"/>
        <w:widowControl/>
        <w:numPr>
          <w:ilvl w:val="0"/>
          <w:numId w:val="7"/>
        </w:numPr>
        <w:shd w:val="clear" w:color="auto" w:fill="FFFFFF"/>
        <w:rPr>
          <w:rFonts w:ascii="黑体" w:hAnsi="黑体" w:cs="黑体"/>
        </w:rPr>
      </w:pPr>
      <w:r>
        <w:t>技术能力</w:t>
      </w:r>
    </w:p>
    <w:p w14:paraId="7F3B74F3">
      <w:pPr>
        <w:pStyle w:val="11"/>
        <w:widowControl/>
        <w:ind w:firstLine="480"/>
        <w:rPr>
          <w:color w:val="0F1115"/>
        </w:rPr>
      </w:pPr>
      <w:r>
        <w:rPr>
          <w:color w:val="0F1115"/>
        </w:rPr>
        <w:t>供应商须具备基于人工智能技术的新型内容生产能力，包括但不限于AI内容生成、数字人制作、智能脚本创作等，并能够在医疗健康领域合规应用，投标时须提供相应项目案例。</w:t>
      </w:r>
    </w:p>
    <w:p w14:paraId="58C8BB31">
      <w:pPr>
        <w:pStyle w:val="3"/>
        <w:widowControl/>
        <w:numPr>
          <w:ilvl w:val="0"/>
          <w:numId w:val="7"/>
        </w:numPr>
        <w:shd w:val="clear" w:color="auto" w:fill="FFFFFF"/>
        <w:rPr>
          <w:rFonts w:ascii="黑体" w:hAnsi="黑体" w:cs="黑体"/>
        </w:rPr>
      </w:pPr>
      <w:r>
        <w:t>专项服务团队配置</w:t>
      </w:r>
    </w:p>
    <w:p w14:paraId="07AA22D9">
      <w:pPr>
        <w:pStyle w:val="11"/>
        <w:widowControl/>
        <w:ind w:firstLine="480"/>
      </w:pPr>
      <w:r>
        <w:rPr>
          <w:color w:val="0F1115"/>
        </w:rPr>
        <w:t>供应商须配置不低于5人的专项服务团队，核心成员应具备医疗健康类短视频制作、医院新媒体运营、医生科普内容策划或医疗健康账号运营相关经验。投标时须提供人员名单、岗位分工、简历及项目经验说明。团队至少包含以下岗位：</w:t>
      </w:r>
    </w:p>
    <w:p w14:paraId="5C41B7E4">
      <w:pPr>
        <w:pStyle w:val="11"/>
        <w:widowControl/>
        <w:numPr>
          <w:ilvl w:val="0"/>
          <w:numId w:val="8"/>
        </w:numPr>
        <w:ind w:firstLineChars="0"/>
      </w:pPr>
      <w:r>
        <w:rPr>
          <w:b/>
          <w:color w:val="0F1115"/>
        </w:rPr>
        <w:t>项目负责人/统筹</w:t>
      </w:r>
      <w:r>
        <w:rPr>
          <w:color w:val="0F1115"/>
        </w:rPr>
        <w:t>：负责整体进度管理、人员协调、医院沟通、内容审核协调、阶段复盘及服务质量把控。</w:t>
      </w:r>
    </w:p>
    <w:p w14:paraId="3660A695">
      <w:pPr>
        <w:pStyle w:val="11"/>
        <w:widowControl/>
        <w:numPr>
          <w:ilvl w:val="0"/>
          <w:numId w:val="8"/>
        </w:numPr>
        <w:ind w:firstLineChars="0"/>
      </w:pPr>
      <w:r>
        <w:rPr>
          <w:b/>
          <w:color w:val="0F1115"/>
        </w:rPr>
        <w:t>内容策划/编导</w:t>
      </w:r>
      <w:r>
        <w:rPr>
          <w:color w:val="0F1115"/>
        </w:rPr>
        <w:t>：负责选题策划、脚本撰写、医生沟通、拍摄提纲整理及现场表达引导。</w:t>
      </w:r>
    </w:p>
    <w:p w14:paraId="0588A750">
      <w:pPr>
        <w:pStyle w:val="11"/>
        <w:widowControl/>
        <w:numPr>
          <w:ilvl w:val="0"/>
          <w:numId w:val="8"/>
        </w:numPr>
        <w:ind w:firstLineChars="0"/>
      </w:pPr>
      <w:r>
        <w:rPr>
          <w:b/>
          <w:color w:val="0F1115"/>
        </w:rPr>
        <w:t>摄像/现场执行</w:t>
      </w:r>
      <w:r>
        <w:rPr>
          <w:color w:val="0F1115"/>
        </w:rPr>
        <w:t>：负责口播、科室场景、院内活动及相关素材拍摄，确保画面、收音及素材质量符合平台发布要求。</w:t>
      </w:r>
    </w:p>
    <w:p w14:paraId="656DF1CF">
      <w:pPr>
        <w:pStyle w:val="11"/>
        <w:widowControl/>
        <w:numPr>
          <w:ilvl w:val="0"/>
          <w:numId w:val="8"/>
        </w:numPr>
        <w:ind w:firstLineChars="0"/>
      </w:pPr>
      <w:r>
        <w:rPr>
          <w:b/>
          <w:color w:val="0F1115"/>
        </w:rPr>
        <w:t>后期制作</w:t>
      </w:r>
      <w:r>
        <w:rPr>
          <w:color w:val="0F1115"/>
        </w:rPr>
        <w:t>：负责视频剪辑、字幕包装、封面制作、平台适配、修改输出及成片归档。</w:t>
      </w:r>
    </w:p>
    <w:p w14:paraId="7F4D0B70">
      <w:pPr>
        <w:pStyle w:val="11"/>
        <w:widowControl/>
        <w:numPr>
          <w:ilvl w:val="0"/>
          <w:numId w:val="8"/>
        </w:numPr>
        <w:ind w:firstLineChars="0"/>
      </w:pPr>
      <w:r>
        <w:rPr>
          <w:b/>
          <w:color w:val="0F1115"/>
        </w:rPr>
        <w:t>账号运营/数据复盘</w:t>
      </w:r>
      <w:r>
        <w:rPr>
          <w:color w:val="0F1115"/>
        </w:rPr>
        <w:t>：负责内容发布支持、标题优化、评论及私信基础整理、数据统计、舆情监测及阶段性复盘报告，确保评论及私信回复率超过20%。</w:t>
      </w:r>
    </w:p>
    <w:p w14:paraId="49B563F1">
      <w:pPr>
        <w:pStyle w:val="2"/>
        <w:widowControl/>
        <w:numPr>
          <w:ilvl w:val="0"/>
          <w:numId w:val="1"/>
        </w:numPr>
        <w:shd w:val="clear" w:color="auto" w:fill="FFFFFF"/>
        <w:rPr>
          <w:rFonts w:ascii="黑体" w:hAnsi="黑体" w:cs="黑体"/>
        </w:rPr>
      </w:pPr>
      <w:r>
        <w:t>项目实施与验收标准</w:t>
      </w:r>
    </w:p>
    <w:p w14:paraId="2C027231">
      <w:pPr>
        <w:pStyle w:val="3"/>
        <w:widowControl/>
        <w:numPr>
          <w:ilvl w:val="0"/>
          <w:numId w:val="9"/>
        </w:numPr>
        <w:shd w:val="clear" w:color="auto" w:fill="FFFFFF"/>
        <w:rPr>
          <w:rFonts w:ascii="黑体" w:hAnsi="黑体" w:cs="黑体"/>
        </w:rPr>
      </w:pPr>
      <w:r>
        <w:t>审核机制</w:t>
      </w:r>
    </w:p>
    <w:p w14:paraId="10411CB6">
      <w:pPr>
        <w:pStyle w:val="11"/>
        <w:widowControl/>
        <w:ind w:firstLine="480"/>
        <w:rPr>
          <w:color w:val="0F1115"/>
        </w:rPr>
      </w:pPr>
      <w:r>
        <w:rPr>
          <w:color w:val="0F1115"/>
        </w:rPr>
        <w:t>所有视频脚本、成片、封面、标题及发布内容须经医院相关负责人审核确认后方可发布。未经医院审核，供应商不得擅自发布涉及医院、老年医学一科、医生、患者、诊疗信息、病例信息及医院品牌形象的内容。</w:t>
      </w:r>
    </w:p>
    <w:p w14:paraId="6DC8169A">
      <w:pPr>
        <w:pStyle w:val="3"/>
        <w:widowControl/>
        <w:numPr>
          <w:ilvl w:val="0"/>
          <w:numId w:val="9"/>
        </w:numPr>
        <w:shd w:val="clear" w:color="auto" w:fill="FFFFFF"/>
        <w:rPr>
          <w:rFonts w:ascii="黑体" w:hAnsi="黑体" w:cs="黑体"/>
        </w:rPr>
      </w:pPr>
      <w:r>
        <w:t>验收交付物</w:t>
      </w:r>
    </w:p>
    <w:p w14:paraId="5B857EDC">
      <w:pPr>
        <w:pStyle w:val="11"/>
        <w:widowControl/>
        <w:ind w:firstLine="480"/>
      </w:pPr>
      <w:r>
        <w:rPr>
          <w:color w:val="0F1115"/>
        </w:rPr>
        <w:t>服务期满，供应商须提交以下资料作为验收依据：</w:t>
      </w:r>
    </w:p>
    <w:p w14:paraId="77505766">
      <w:pPr>
        <w:pStyle w:val="11"/>
        <w:widowControl/>
        <w:numPr>
          <w:ilvl w:val="0"/>
          <w:numId w:val="10"/>
        </w:numPr>
        <w:ind w:firstLineChars="0"/>
      </w:pPr>
      <w:r>
        <w:rPr>
          <w:color w:val="0F1115"/>
        </w:rPr>
        <w:t>不少于150条有效视频发布清单；</w:t>
      </w:r>
    </w:p>
    <w:p w14:paraId="38B039F3">
      <w:pPr>
        <w:pStyle w:val="11"/>
        <w:widowControl/>
        <w:numPr>
          <w:ilvl w:val="0"/>
          <w:numId w:val="10"/>
        </w:numPr>
        <w:ind w:firstLineChars="0"/>
      </w:pPr>
      <w:r>
        <w:rPr>
          <w:color w:val="0F1115"/>
        </w:rPr>
        <w:t>清单中全部视频成片文件；</w:t>
      </w:r>
    </w:p>
    <w:p w14:paraId="03975D78">
      <w:pPr>
        <w:pStyle w:val="11"/>
        <w:widowControl/>
        <w:numPr>
          <w:ilvl w:val="0"/>
          <w:numId w:val="10"/>
        </w:numPr>
        <w:ind w:firstLineChars="0"/>
      </w:pPr>
      <w:r>
        <w:rPr>
          <w:color w:val="0F1115"/>
        </w:rPr>
        <w:t>相关拍摄素材源文件；</w:t>
      </w:r>
    </w:p>
    <w:p w14:paraId="0B1E4C81">
      <w:pPr>
        <w:pStyle w:val="11"/>
        <w:widowControl/>
        <w:numPr>
          <w:ilvl w:val="0"/>
          <w:numId w:val="10"/>
        </w:numPr>
        <w:ind w:firstLineChars="0"/>
      </w:pPr>
      <w:r>
        <w:rPr>
          <w:color w:val="0F1115"/>
        </w:rPr>
        <w:t>月度/季度数据复盘报告（含各平台后台数据截图或其他运营数据证明）；</w:t>
      </w:r>
    </w:p>
    <w:p w14:paraId="2AB1804E">
      <w:pPr>
        <w:pStyle w:val="11"/>
        <w:widowControl/>
        <w:numPr>
          <w:ilvl w:val="0"/>
          <w:numId w:val="10"/>
        </w:numPr>
        <w:ind w:firstLineChars="0"/>
      </w:pPr>
      <w:r>
        <w:rPr>
          <w:color w:val="0F1115"/>
        </w:rPr>
        <w:t>由供应商、医院相关科室及宣传管理部门共同确认的验收证明。</w:t>
      </w:r>
    </w:p>
    <w:p w14:paraId="25637DFD">
      <w:pPr>
        <w:pStyle w:val="3"/>
        <w:widowControl/>
        <w:numPr>
          <w:ilvl w:val="0"/>
          <w:numId w:val="9"/>
        </w:numPr>
        <w:shd w:val="clear" w:color="auto" w:fill="FFFFFF"/>
        <w:rPr>
          <w:rFonts w:ascii="黑体" w:hAnsi="黑体" w:cs="黑体"/>
        </w:rPr>
      </w:pPr>
      <w:r>
        <w:t>版权归属</w:t>
      </w:r>
      <w:bookmarkStart w:id="1" w:name="_GoBack"/>
      <w:bookmarkEnd w:id="1"/>
    </w:p>
    <w:p w14:paraId="540558D5">
      <w:pPr>
        <w:pStyle w:val="11"/>
        <w:widowControl/>
        <w:ind w:firstLine="480"/>
        <w:rPr>
          <w:color w:val="0F1115"/>
        </w:rPr>
      </w:pPr>
      <w:r>
        <w:rPr>
          <w:color w:val="0F1115"/>
        </w:rPr>
        <w:t>服务期内产出的所有视频素材、文案脚本、成片、封面设计、账号运营资料及项目数据，其著作权、所有权及使用权归医院所有。供应商未经医院许可不得用于其他商业展示、案例宣传或对外传播。</w:t>
      </w:r>
    </w:p>
    <w:p w14:paraId="6E977F00">
      <w:pPr>
        <w:pStyle w:val="3"/>
        <w:widowControl/>
        <w:numPr>
          <w:ilvl w:val="0"/>
          <w:numId w:val="9"/>
        </w:numPr>
        <w:shd w:val="clear" w:color="auto" w:fill="FFFFFF"/>
        <w:rPr>
          <w:rFonts w:ascii="黑体" w:hAnsi="黑体" w:cs="黑体"/>
        </w:rPr>
      </w:pPr>
      <w:r>
        <w:t>付款方式</w:t>
      </w:r>
    </w:p>
    <w:p w14:paraId="5B7DC516">
      <w:pPr>
        <w:pStyle w:val="3"/>
        <w:widowControl/>
        <w:numPr>
          <w:ilvl w:val="0"/>
          <w:numId w:val="0"/>
        </w:numPr>
        <w:shd w:val="clear" w:color="auto" w:fill="FFFFFF"/>
        <w:ind w:leftChars="0" w:firstLine="480" w:firstLineChars="200"/>
        <w:rPr>
          <w:rFonts w:ascii="Times New Roman" w:hAnsi="Times New Roman" w:eastAsia="宋体" w:cs="Times New Roman"/>
          <w:i w:val="0"/>
          <w:color w:val="0F1115"/>
          <w:sz w:val="24"/>
          <w:szCs w:val="24"/>
        </w:rPr>
      </w:pPr>
      <w:r>
        <w:rPr>
          <w:rFonts w:ascii="Times New Roman" w:hAnsi="Times New Roman" w:eastAsia="宋体" w:cs="Times New Roman"/>
          <w:i w:val="0"/>
          <w:color w:val="0F1115"/>
          <w:sz w:val="24"/>
          <w:szCs w:val="24"/>
        </w:rPr>
        <w:t>合同签订后，由乙方开具服务基础内容金额30%的发票，甲方在收到发票后15个工作日内进行汇款；当乙方完成全部基础服务内容后，可开具服务基础内容金额</w:t>
      </w:r>
      <w:r>
        <w:rPr>
          <w:rFonts w:hint="eastAsia" w:eastAsia="宋体" w:cs="Times New Roman"/>
          <w:i w:val="0"/>
          <w:color w:val="0F1115"/>
          <w:sz w:val="24"/>
          <w:szCs w:val="24"/>
          <w:lang w:val="en-US" w:eastAsia="zh-CN"/>
        </w:rPr>
        <w:t>65</w:t>
      </w:r>
      <w:r>
        <w:rPr>
          <w:rFonts w:ascii="Times New Roman" w:hAnsi="Times New Roman" w:eastAsia="宋体" w:cs="Times New Roman"/>
          <w:i w:val="0"/>
          <w:color w:val="0F1115"/>
          <w:sz w:val="24"/>
          <w:szCs w:val="24"/>
        </w:rPr>
        <w:t>%的发票并完成交付验收，甲方在收到发票后15个工作日内进行汇款。当合同期满时，由乙方对超过</w:t>
      </w:r>
      <w:r>
        <w:rPr>
          <w:rFonts w:hint="eastAsia" w:eastAsia="宋体" w:cs="Times New Roman"/>
          <w:i w:val="0"/>
          <w:color w:val="0F1115"/>
          <w:sz w:val="24"/>
          <w:szCs w:val="24"/>
          <w:lang w:val="en-US" w:eastAsia="zh-CN"/>
        </w:rPr>
        <w:t>服务</w:t>
      </w:r>
      <w:r>
        <w:rPr>
          <w:rFonts w:ascii="Times New Roman" w:hAnsi="Times New Roman" w:eastAsia="宋体" w:cs="Times New Roman"/>
          <w:i w:val="0"/>
          <w:color w:val="0F1115"/>
          <w:sz w:val="24"/>
          <w:szCs w:val="24"/>
        </w:rPr>
        <w:t>基础内容部分进行梳理交付，双方验收后由乙方</w:t>
      </w:r>
      <w:r>
        <w:rPr>
          <w:rFonts w:hint="eastAsia" w:eastAsia="宋体" w:cs="Times New Roman"/>
          <w:i w:val="0"/>
          <w:color w:val="0F1115"/>
          <w:sz w:val="24"/>
          <w:szCs w:val="24"/>
          <w:lang w:val="en-US" w:eastAsia="zh-CN"/>
        </w:rPr>
        <w:t>提供超过服务基础内容部分的金额及服务基础内容金额5%</w:t>
      </w:r>
      <w:r>
        <w:rPr>
          <w:rFonts w:ascii="Times New Roman" w:hAnsi="Times New Roman" w:eastAsia="宋体" w:cs="Times New Roman"/>
          <w:i w:val="0"/>
          <w:color w:val="0F1115"/>
          <w:sz w:val="24"/>
          <w:szCs w:val="24"/>
        </w:rPr>
        <w:t>的发票，甲方在收到发票后15个工作日内进行汇款。</w:t>
      </w:r>
    </w:p>
    <w:p w14:paraId="60AE57AA">
      <w:pPr>
        <w:pStyle w:val="3"/>
        <w:widowControl/>
        <w:numPr>
          <w:ilvl w:val="0"/>
          <w:numId w:val="0"/>
        </w:numPr>
        <w:shd w:val="clear" w:color="auto" w:fill="FFFFFF"/>
        <w:ind w:leftChars="0"/>
        <w:rPr>
          <w:rFonts w:ascii="黑体" w:hAnsi="黑体" w:cs="黑体"/>
        </w:rPr>
      </w:pPr>
      <w:r>
        <w:rPr>
          <w:rFonts w:hint="eastAsia" w:eastAsia="宋体" w:cs="Times New Roman"/>
          <w:i w:val="0"/>
          <w:color w:val="0F1115"/>
          <w:sz w:val="24"/>
          <w:szCs w:val="24"/>
          <w:lang w:val="en-US" w:eastAsia="zh-CN"/>
        </w:rPr>
        <w:t>六、</w:t>
      </w:r>
      <w:r>
        <w:t>保密、合规与应急响应要求</w:t>
      </w:r>
    </w:p>
    <w:p w14:paraId="40ACCF21">
      <w:pPr>
        <w:pStyle w:val="3"/>
        <w:widowControl/>
        <w:numPr>
          <w:ilvl w:val="0"/>
          <w:numId w:val="11"/>
        </w:numPr>
        <w:shd w:val="clear" w:color="auto" w:fill="FFFFFF"/>
        <w:rPr>
          <w:rFonts w:ascii="黑体" w:hAnsi="黑体" w:cs="黑体"/>
        </w:rPr>
      </w:pPr>
      <w:r>
        <w:t>保密与隐私保护</w:t>
      </w:r>
    </w:p>
    <w:p w14:paraId="0EACC7E2">
      <w:pPr>
        <w:pStyle w:val="11"/>
        <w:widowControl/>
        <w:ind w:firstLine="480"/>
        <w:rPr>
          <w:color w:val="0F1115"/>
        </w:rPr>
      </w:pPr>
      <w:r>
        <w:rPr>
          <w:color w:val="0F1115"/>
        </w:rPr>
        <w:t>供应商须签订医疗数据与患者隐私保密协议。涉及诊间拍摄、患者画面、检查操作、病例信息等内容时，必须配合医院完成相关授权及审批流程，严禁泄露患者隐私。</w:t>
      </w:r>
    </w:p>
    <w:p w14:paraId="5CDCDB8B">
      <w:pPr>
        <w:pStyle w:val="3"/>
        <w:widowControl/>
        <w:numPr>
          <w:ilvl w:val="0"/>
          <w:numId w:val="11"/>
        </w:numPr>
        <w:shd w:val="clear" w:color="auto" w:fill="FFFFFF"/>
        <w:rPr>
          <w:rFonts w:ascii="黑体" w:hAnsi="黑体" w:cs="黑体"/>
        </w:rPr>
      </w:pPr>
      <w:r>
        <w:t>应急响应</w:t>
      </w:r>
    </w:p>
    <w:p w14:paraId="469E2D33">
      <w:pPr>
        <w:pStyle w:val="11"/>
        <w:widowControl/>
        <w:ind w:firstLine="480"/>
        <w:rPr>
          <w:color w:val="0F1115"/>
        </w:rPr>
      </w:pPr>
      <w:r>
        <w:rPr>
          <w:color w:val="0F1115"/>
        </w:rPr>
        <w:t>供应商须建立应急响应机制。涉及内容修改、临时拍摄、账号异常、负面评论或舆情风险时，须及时响应并配合医院完成处理。如视频内容引发网络负面舆情，供应商须在1小时内响应，8小时内出具初步应对方案。如因供应商服务内容、发布行为或素材管理不当导致重大舆情、患者隐私泄露或经济损失，医院有权按合同约定追究其责任。</w:t>
      </w:r>
    </w:p>
    <w:p w14:paraId="54FBAC3A">
      <w:pPr>
        <w:ind w:firstLine="420"/>
        <w:rPr>
          <w:rFonts w:ascii="Times New Roman" w:hAnsi="Times New Roman" w:eastAsia="宋体" w:cs="Times New Roman"/>
          <w:color w:val="0F1115"/>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FZNewShuSong-Z10S">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FZXiaoBiaoSong-B05S">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200000000000000"/>
    <w:charset w:val="86"/>
    <w:family w:val="auto"/>
    <w:pitch w:val="default"/>
    <w:sig w:usb0="A00002FF" w:usb1="7ACFFCFB" w:usb2="00000016" w:usb3="00000000" w:csb0="00040001" w:csb1="00000000"/>
  </w:font>
  <w:font w:name="Tahoma">
    <w:panose1 w:val="020B0604030504040204"/>
    <w:charset w:val="00"/>
    <w:family w:val="auto"/>
    <w:pitch w:val="default"/>
    <w:sig w:usb0="E1002A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8F45E"/>
    <w:multiLevelType w:val="singleLevel"/>
    <w:tmpl w:val="97B8F45E"/>
    <w:lvl w:ilvl="0" w:tentative="0">
      <w:start w:val="1"/>
      <w:numFmt w:val="chineseCounting"/>
      <w:suff w:val="nothing"/>
      <w:lvlText w:val="（%1）"/>
      <w:lvlJc w:val="left"/>
      <w:pPr>
        <w:ind w:left="0" w:firstLine="0"/>
      </w:pPr>
      <w:rPr>
        <w:rFonts w:hint="eastAsia"/>
      </w:rPr>
    </w:lvl>
  </w:abstractNum>
  <w:abstractNum w:abstractNumId="1">
    <w:nsid w:val="9BFF1CA5"/>
    <w:multiLevelType w:val="singleLevel"/>
    <w:tmpl w:val="9BFF1CA5"/>
    <w:lvl w:ilvl="0" w:tentative="0">
      <w:start w:val="1"/>
      <w:numFmt w:val="decimal"/>
      <w:lvlText w:val="%1."/>
      <w:lvlJc w:val="left"/>
      <w:pPr>
        <w:ind w:left="425" w:hanging="425"/>
      </w:pPr>
      <w:rPr>
        <w:rFonts w:hint="default"/>
      </w:rPr>
    </w:lvl>
  </w:abstractNum>
  <w:abstractNum w:abstractNumId="2">
    <w:nsid w:val="A1D948EC"/>
    <w:multiLevelType w:val="singleLevel"/>
    <w:tmpl w:val="A1D948EC"/>
    <w:lvl w:ilvl="0" w:tentative="0">
      <w:start w:val="1"/>
      <w:numFmt w:val="decimal"/>
      <w:lvlText w:val="%1."/>
      <w:lvlJc w:val="left"/>
      <w:pPr>
        <w:ind w:left="425" w:hanging="425"/>
      </w:pPr>
      <w:rPr>
        <w:rFonts w:hint="default"/>
      </w:rPr>
    </w:lvl>
  </w:abstractNum>
  <w:abstractNum w:abstractNumId="3">
    <w:nsid w:val="DDF6ACC1"/>
    <w:multiLevelType w:val="singleLevel"/>
    <w:tmpl w:val="DDF6ACC1"/>
    <w:lvl w:ilvl="0" w:tentative="0">
      <w:start w:val="1"/>
      <w:numFmt w:val="chineseCounting"/>
      <w:suff w:val="nothing"/>
      <w:lvlText w:val="（%1）"/>
      <w:lvlJc w:val="left"/>
      <w:pPr>
        <w:ind w:left="0" w:firstLine="0"/>
      </w:pPr>
      <w:rPr>
        <w:rFonts w:hint="eastAsia"/>
      </w:rPr>
    </w:lvl>
  </w:abstractNum>
  <w:abstractNum w:abstractNumId="4">
    <w:nsid w:val="EFFE536D"/>
    <w:multiLevelType w:val="singleLevel"/>
    <w:tmpl w:val="EFFE536D"/>
    <w:lvl w:ilvl="0" w:tentative="0">
      <w:start w:val="1"/>
      <w:numFmt w:val="decimal"/>
      <w:suff w:val="nothing"/>
      <w:lvlText w:val="（%1）"/>
      <w:lvlJc w:val="left"/>
      <w:pPr>
        <w:ind w:left="0" w:firstLine="480"/>
      </w:pPr>
      <w:rPr>
        <w:rFonts w:hint="default"/>
      </w:rPr>
    </w:lvl>
  </w:abstractNum>
  <w:abstractNum w:abstractNumId="5">
    <w:nsid w:val="FD6E52EB"/>
    <w:multiLevelType w:val="singleLevel"/>
    <w:tmpl w:val="FD6E52EB"/>
    <w:lvl w:ilvl="0" w:tentative="0">
      <w:start w:val="1"/>
      <w:numFmt w:val="decimal"/>
      <w:lvlText w:val="%1."/>
      <w:lvlJc w:val="left"/>
      <w:pPr>
        <w:ind w:left="425" w:hanging="425"/>
      </w:pPr>
      <w:rPr>
        <w:rFonts w:hint="default"/>
      </w:rPr>
    </w:lvl>
  </w:abstractNum>
  <w:abstractNum w:abstractNumId="6">
    <w:nsid w:val="FEFFC2BB"/>
    <w:multiLevelType w:val="singleLevel"/>
    <w:tmpl w:val="FEFFC2BB"/>
    <w:lvl w:ilvl="0" w:tentative="0">
      <w:start w:val="1"/>
      <w:numFmt w:val="decimal"/>
      <w:lvlText w:val="%1."/>
      <w:lvlJc w:val="left"/>
      <w:pPr>
        <w:ind w:left="425" w:hanging="425"/>
      </w:pPr>
      <w:rPr>
        <w:rFonts w:hint="default"/>
      </w:rPr>
    </w:lvl>
  </w:abstractNum>
  <w:abstractNum w:abstractNumId="7">
    <w:nsid w:val="FFFA1CE4"/>
    <w:multiLevelType w:val="singleLevel"/>
    <w:tmpl w:val="FFFA1CE4"/>
    <w:lvl w:ilvl="0" w:tentative="0">
      <w:start w:val="1"/>
      <w:numFmt w:val="chineseCounting"/>
      <w:suff w:val="nothing"/>
      <w:lvlText w:val="（%1）"/>
      <w:lvlJc w:val="left"/>
      <w:pPr>
        <w:ind w:left="0" w:firstLine="0"/>
      </w:pPr>
      <w:rPr>
        <w:rFonts w:hint="eastAsia"/>
      </w:rPr>
    </w:lvl>
  </w:abstractNum>
  <w:abstractNum w:abstractNumId="8">
    <w:nsid w:val="FFFF9863"/>
    <w:multiLevelType w:val="singleLevel"/>
    <w:tmpl w:val="FFFF9863"/>
    <w:lvl w:ilvl="0" w:tentative="0">
      <w:start w:val="1"/>
      <w:numFmt w:val="chineseCounting"/>
      <w:suff w:val="nothing"/>
      <w:lvlText w:val="%1、"/>
      <w:lvlJc w:val="left"/>
      <w:pPr>
        <w:ind w:left="0" w:firstLine="0"/>
      </w:pPr>
      <w:rPr>
        <w:rFonts w:hint="eastAsia"/>
      </w:rPr>
    </w:lvl>
  </w:abstractNum>
  <w:abstractNum w:abstractNumId="9">
    <w:nsid w:val="4BD7930A"/>
    <w:multiLevelType w:val="singleLevel"/>
    <w:tmpl w:val="4BD7930A"/>
    <w:lvl w:ilvl="0" w:tentative="0">
      <w:start w:val="1"/>
      <w:numFmt w:val="chineseCounting"/>
      <w:suff w:val="nothing"/>
      <w:lvlText w:val="（%1）"/>
      <w:lvlJc w:val="left"/>
      <w:pPr>
        <w:ind w:left="0" w:firstLine="0"/>
      </w:pPr>
      <w:rPr>
        <w:rFonts w:hint="eastAsia"/>
      </w:rPr>
    </w:lvl>
  </w:abstractNum>
  <w:abstractNum w:abstractNumId="10">
    <w:nsid w:val="4FEEF776"/>
    <w:multiLevelType w:val="singleLevel"/>
    <w:tmpl w:val="4FEEF776"/>
    <w:lvl w:ilvl="0" w:tentative="0">
      <w:start w:val="1"/>
      <w:numFmt w:val="chineseCounting"/>
      <w:suff w:val="nothing"/>
      <w:lvlText w:val="（%1）"/>
      <w:lvlJc w:val="left"/>
      <w:pPr>
        <w:ind w:left="0" w:firstLine="0"/>
      </w:pPr>
      <w:rPr>
        <w:rFonts w:hint="eastAsia"/>
      </w:rPr>
    </w:lvl>
  </w:abstractNum>
  <w:num w:numId="1">
    <w:abstractNumId w:val="8"/>
  </w:num>
  <w:num w:numId="2">
    <w:abstractNumId w:val="4"/>
  </w:num>
  <w:num w:numId="3">
    <w:abstractNumId w:val="10"/>
  </w:num>
  <w:num w:numId="4">
    <w:abstractNumId w:val="9"/>
  </w:num>
  <w:num w:numId="5">
    <w:abstractNumId w:val="6"/>
  </w:num>
  <w:num w:numId="6">
    <w:abstractNumId w:val="1"/>
  </w:num>
  <w:num w:numId="7">
    <w:abstractNumId w:val="7"/>
  </w:num>
  <w:num w:numId="8">
    <w:abstractNumId w:val="5"/>
  </w:num>
  <w:num w:numId="9">
    <w:abstractNumId w:val="3"/>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B963EF"/>
    <w:rsid w:val="0037055C"/>
    <w:rsid w:val="00426C2F"/>
    <w:rsid w:val="005225BF"/>
    <w:rsid w:val="00581F87"/>
    <w:rsid w:val="005D1725"/>
    <w:rsid w:val="00914420"/>
    <w:rsid w:val="00944FE3"/>
    <w:rsid w:val="00A32FC3"/>
    <w:rsid w:val="00A90EAA"/>
    <w:rsid w:val="00BB293D"/>
    <w:rsid w:val="00C55B7A"/>
    <w:rsid w:val="00C824CE"/>
    <w:rsid w:val="00DC74C7"/>
    <w:rsid w:val="00E804E1"/>
    <w:rsid w:val="5FFF9F4B"/>
    <w:rsid w:val="6EBE16D6"/>
    <w:rsid w:val="7EB963EF"/>
    <w:rsid w:val="A7F78652"/>
    <w:rsid w:val="AEAFDAEB"/>
    <w:rsid w:val="CFF973C6"/>
    <w:rsid w:val="EDFF2EB6"/>
    <w:rsid w:val="F3FB3FB6"/>
    <w:rsid w:val="FF7F8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val="en-US" w:eastAsia="zh-CN" w:bidi="ar-SA"/>
    </w:rPr>
  </w:style>
  <w:style w:type="paragraph" w:styleId="3">
    <w:name w:val="heading 2"/>
    <w:next w:val="1"/>
    <w:link w:val="24"/>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val="en-US" w:eastAsia="zh-CN" w:bidi="ar-SA"/>
    </w:rPr>
  </w:style>
  <w:style w:type="paragraph" w:styleId="4">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val="en-US" w:eastAsia="zh-CN"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val="en-US" w:eastAsia="zh-CN"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val="en-US" w:eastAsia="zh-CN"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val="en-US" w:eastAsia="zh-CN"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val="en-US" w:eastAsia="zh-CN"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val="en-US" w:eastAsia="zh-CN"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val="en-US" w:eastAsia="zh-CN" w:bidi="ar-SA"/>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Body Text"/>
    <w:uiPriority w:val="0"/>
    <w:pPr>
      <w:widowControl w:val="0"/>
      <w:adjustRightInd w:val="0"/>
      <w:spacing w:before="100" w:after="100" w:line="300" w:lineRule="auto"/>
      <w:ind w:firstLine="1044" w:firstLineChars="200"/>
      <w:jc w:val="both"/>
    </w:pPr>
    <w:rPr>
      <w:rFonts w:ascii="Times New Roman" w:hAnsi="Times New Roman" w:eastAsia="宋体" w:cs="Times New Roman"/>
      <w:kern w:val="2"/>
      <w:sz w:val="24"/>
      <w:szCs w:val="24"/>
      <w:lang w:val="en-US" w:eastAsia="zh-CN" w:bidi="ar-SA"/>
    </w:rPr>
  </w:style>
  <w:style w:type="paragraph" w:styleId="12">
    <w:name w:val="footer"/>
    <w:basedOn w:val="1"/>
    <w:link w:val="23"/>
    <w:uiPriority w:val="0"/>
    <w:pPr>
      <w:tabs>
        <w:tab w:val="center" w:pos="4153"/>
        <w:tab w:val="right" w:pos="8306"/>
      </w:tabs>
      <w:snapToGrid w:val="0"/>
      <w:jc w:val="left"/>
    </w:pPr>
    <w:rPr>
      <w:sz w:val="18"/>
      <w:szCs w:val="18"/>
    </w:rPr>
  </w:style>
  <w:style w:type="paragraph" w:styleId="13">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14">
    <w:name w:val="Subtitle"/>
    <w:qFormat/>
    <w:uiPriority w:val="0"/>
    <w:pPr>
      <w:widowControl w:val="0"/>
      <w:adjustRightInd w:val="0"/>
      <w:spacing w:before="100" w:after="100"/>
      <w:jc w:val="center"/>
    </w:pPr>
    <w:rPr>
      <w:rFonts w:ascii="Times New Roman" w:hAnsi="Times New Roman" w:eastAsia="黑体" w:cs="Times New Roman"/>
      <w:kern w:val="28"/>
      <w:sz w:val="32"/>
      <w:szCs w:val="24"/>
      <w:lang w:val="en-US" w:eastAsia="zh-CN" w:bidi="ar-SA"/>
    </w:rPr>
  </w:style>
  <w:style w:type="paragraph" w:styleId="15">
    <w:name w:val="Normal (Web)"/>
    <w:basedOn w:val="1"/>
    <w:uiPriority w:val="99"/>
    <w:rPr>
      <w:sz w:val="24"/>
    </w:rPr>
  </w:style>
  <w:style w:type="paragraph" w:styleId="16">
    <w:name w:val="Title"/>
    <w:qFormat/>
    <w:uiPriority w:val="0"/>
    <w:pPr>
      <w:widowControl w:val="0"/>
      <w:adjustRightInd w:val="0"/>
      <w:spacing w:before="100" w:after="100"/>
      <w:jc w:val="center"/>
    </w:pPr>
    <w:rPr>
      <w:rFonts w:ascii="Times New Roman" w:hAnsi="Times New Roman" w:eastAsia="黑体" w:cs="Times New Roman"/>
      <w:kern w:val="2"/>
      <w:sz w:val="36"/>
      <w:szCs w:val="24"/>
      <w:lang w:val="en-US" w:eastAsia="zh-CN" w:bidi="ar-SA"/>
    </w:rPr>
  </w:style>
  <w:style w:type="table" w:styleId="18">
    <w:name w:val="Table Grid"/>
    <w:basedOn w:val="1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oa稿件专用"/>
    <w:basedOn w:val="1"/>
    <w:qFormat/>
    <w:uiPriority w:val="0"/>
    <w:pPr>
      <w:widowControl/>
    </w:pPr>
    <w:rPr>
      <w:rFonts w:hint="eastAsia" w:ascii="仿宋_GB2312" w:hAnsi="仿宋_GB2312" w:eastAsia="仿宋_GB2312" w:cs="Times New Roman"/>
      <w:color w:val="333333"/>
      <w:spacing w:val="30"/>
      <w:kern w:val="0"/>
      <w:sz w:val="28"/>
      <w:szCs w:val="32"/>
      <w:shd w:val="clear" w:color="auto" w:fill="FFFFFF"/>
    </w:rPr>
  </w:style>
  <w:style w:type="paragraph" w:customStyle="1" w:styleId="21">
    <w:name w:val="样式1"/>
    <w:basedOn w:val="1"/>
    <w:uiPriority w:val="0"/>
    <w:pPr>
      <w:spacing w:line="560" w:lineRule="exact"/>
      <w:jc w:val="center"/>
    </w:pPr>
    <w:rPr>
      <w:rFonts w:hint="eastAsia" w:ascii="FZXiaoBiaoSong-B05S" w:hAnsi="FZXiaoBiaoSong-B05S" w:eastAsia="方正小标宋简体" w:cs="方正小标宋简体"/>
      <w:sz w:val="44"/>
      <w:szCs w:val="44"/>
    </w:rPr>
  </w:style>
  <w:style w:type="character" w:customStyle="1" w:styleId="22">
    <w:name w:val="页眉 字符"/>
    <w:basedOn w:val="19"/>
    <w:link w:val="13"/>
    <w:uiPriority w:val="0"/>
    <w:rPr>
      <w:rFonts w:asciiTheme="minorHAnsi" w:hAnsiTheme="minorHAnsi" w:eastAsiaTheme="minorEastAsia" w:cstheme="minorBidi"/>
      <w:kern w:val="2"/>
      <w:sz w:val="18"/>
      <w:szCs w:val="18"/>
    </w:rPr>
  </w:style>
  <w:style w:type="character" w:customStyle="1" w:styleId="23">
    <w:name w:val="页脚 字符"/>
    <w:basedOn w:val="19"/>
    <w:link w:val="12"/>
    <w:uiPriority w:val="0"/>
    <w:rPr>
      <w:rFonts w:asciiTheme="minorHAnsi" w:hAnsiTheme="minorHAnsi" w:eastAsiaTheme="minorEastAsia" w:cstheme="minorBidi"/>
      <w:kern w:val="2"/>
      <w:sz w:val="18"/>
      <w:szCs w:val="18"/>
    </w:rPr>
  </w:style>
  <w:style w:type="character" w:customStyle="1" w:styleId="24">
    <w:name w:val="标题 2 字符"/>
    <w:basedOn w:val="19"/>
    <w:link w:val="3"/>
    <w:uiPriority w:val="0"/>
    <w:rPr>
      <w:rFonts w:eastAsia="黑体"/>
      <w:kern w:val="2"/>
      <w:sz w:val="30"/>
      <w:szCs w:val="32"/>
    </w:rPr>
  </w:style>
  <w:style w:type="paragraph" w:customStyle="1" w:styleId="25">
    <w:name w:val="isselectedend"/>
    <w:basedOn w:val="1"/>
    <w:uiPriority w:val="0"/>
    <w:pPr>
      <w:widowControl/>
      <w:spacing w:before="100" w:beforeAutospacing="1" w:after="100" w:afterAutospacing="1"/>
      <w:jc w:val="left"/>
    </w:pPr>
    <w:rPr>
      <w:rFonts w:ascii="宋体" w:hAnsi="宋体" w:eastAsia="宋体" w:cs="宋体"/>
      <w:kern w:val="0"/>
      <w:sz w:val="24"/>
    </w:rPr>
  </w:style>
  <w:style w:type="paragraph" w:styleId="26">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525</Words>
  <Characters>2998</Characters>
  <Lines>24</Lines>
  <Paragraphs>7</Paragraphs>
  <TotalTime>4</TotalTime>
  <ScaleCrop>false</ScaleCrop>
  <LinksUpToDate>false</LinksUpToDate>
  <CharactersWithSpaces>3516</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2026-06-25T04:50:00Z</dcterms:created>
  <dc:creator>王晨阳</dc:creator>
  <cp:lastModifiedBy>王晨阳</cp:lastModifiedBy>
  <cp:lastPrinted>2026-06-26T00:16:00Z</cp:lastPrinted>
  <dcterms:modified xsi:type="dcterms:W3CDTF">2026-06-26T15:45:53Z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3DF39ABE5BDB16AE32D33D6A8D9E7D20_43</vt:lpwstr>
  </property>
</Properties>
</file>