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Ind w:w="0" w:type="dxa"/>
        <w:tblLook w:val="0000" w:firstRow="0" w:lastRow="0" w:firstColumn="0" w:lastColumn="0" w:noHBand="0" w:noVBand="0"/>
      </w:tblPr>
      <w:tblGrid>
        <w:gridCol w:w="1304"/>
        <w:gridCol w:w="6992"/>
      </w:tblGrid>
      <w:tr w:rsidR="00BA015D" w:rsidRPr="00BA015D" w14:paraId="19F7B4A0" w14:textId="77777777" w:rsidTr="00567630">
        <w:trPr>
          <w:trHeight w:val="226"/>
        </w:trPr>
        <w:tc>
          <w:tcPr>
            <w:tcW w:w="9060" w:type="dxa"/>
            <w:gridSpan w:val="2"/>
          </w:tcPr>
          <w:p w14:paraId="2B63426A" w14:textId="77777777" w:rsidR="00BA015D" w:rsidRPr="00BA015D" w:rsidRDefault="00BA015D" w:rsidP="00BA015D">
            <w:pPr>
              <w:keepNext/>
              <w:keepLines/>
              <w:spacing w:before="260" w:after="260" w:line="416" w:lineRule="auto"/>
              <w:outlineLvl w:val="1"/>
              <w:rPr>
                <w:rFonts w:ascii="仿宋_GB2312" w:eastAsia="仿宋_GB2312" w:hAnsi="宋体" w:hint="eastAsia"/>
                <w:b/>
                <w:bCs/>
                <w:color w:val="000000"/>
                <w:sz w:val="32"/>
                <w:szCs w:val="32"/>
              </w:rPr>
            </w:pPr>
            <w:r w:rsidRPr="00BA015D">
              <w:rPr>
                <w:rFonts w:ascii="Arial" w:eastAsia="仿宋_GB2312" w:hAnsi="Arial" w:hint="eastAsia"/>
                <w:b/>
                <w:bCs/>
                <w:sz w:val="32"/>
                <w:szCs w:val="32"/>
              </w:rPr>
              <w:t>主要技术指标</w:t>
            </w:r>
          </w:p>
        </w:tc>
      </w:tr>
      <w:tr w:rsidR="00BA015D" w:rsidRPr="00BA015D" w14:paraId="09F91EAE" w14:textId="77777777" w:rsidTr="00567630">
        <w:trPr>
          <w:trHeight w:val="226"/>
        </w:trPr>
        <w:tc>
          <w:tcPr>
            <w:tcW w:w="1375" w:type="dxa"/>
          </w:tcPr>
          <w:p w14:paraId="4ED928FA" w14:textId="77777777" w:rsidR="00BA015D" w:rsidRPr="00BA015D" w:rsidRDefault="00BA015D" w:rsidP="00BA015D">
            <w:pPr>
              <w:rPr>
                <w:rFonts w:ascii="仿宋_GB2312" w:eastAsia="仿宋_GB2312" w:hAnsi="宋体" w:hint="eastAsia"/>
                <w:b/>
                <w:bCs/>
                <w:color w:val="000000"/>
                <w:sz w:val="32"/>
                <w:szCs w:val="32"/>
              </w:rPr>
            </w:pPr>
            <w:r w:rsidRPr="00BA015D">
              <w:rPr>
                <w:rFonts w:ascii="仿宋_GB2312" w:eastAsia="仿宋_GB2312" w:hAnsi="宋体" w:hint="eastAsia"/>
                <w:b/>
                <w:bCs/>
                <w:color w:val="000000"/>
                <w:sz w:val="32"/>
                <w:szCs w:val="32"/>
              </w:rPr>
              <w:t>序号</w:t>
            </w:r>
          </w:p>
        </w:tc>
        <w:tc>
          <w:tcPr>
            <w:tcW w:w="7685" w:type="dxa"/>
          </w:tcPr>
          <w:p w14:paraId="7C05EA44" w14:textId="77777777" w:rsidR="00BA015D" w:rsidRPr="00BA015D" w:rsidRDefault="00BA015D" w:rsidP="00BA015D">
            <w:pPr>
              <w:rPr>
                <w:rFonts w:ascii="仿宋_GB2312" w:eastAsia="仿宋_GB2312" w:hAnsi="宋体" w:hint="eastAsia"/>
                <w:b/>
                <w:bCs/>
                <w:color w:val="000000"/>
                <w:sz w:val="32"/>
                <w:szCs w:val="32"/>
              </w:rPr>
            </w:pPr>
            <w:r w:rsidRPr="00BA015D">
              <w:rPr>
                <w:rFonts w:ascii="仿宋_GB2312" w:eastAsia="仿宋_GB2312" w:hAnsi="宋体" w:hint="eastAsia"/>
                <w:b/>
                <w:bCs/>
                <w:color w:val="000000"/>
                <w:sz w:val="32"/>
                <w:szCs w:val="32"/>
              </w:rPr>
              <w:t>技术参数</w:t>
            </w:r>
          </w:p>
        </w:tc>
      </w:tr>
      <w:tr w:rsidR="00BA015D" w:rsidRPr="00BA015D" w14:paraId="00D24D48" w14:textId="77777777" w:rsidTr="00567630">
        <w:tc>
          <w:tcPr>
            <w:tcW w:w="1375" w:type="dxa"/>
          </w:tcPr>
          <w:p w14:paraId="351AA2F2"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 1.1</w:t>
            </w:r>
          </w:p>
        </w:tc>
        <w:tc>
          <w:tcPr>
            <w:tcW w:w="7685" w:type="dxa"/>
          </w:tcPr>
          <w:p w14:paraId="59E9FE6C"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所投冠脉钙化积分辅助评估软件具备国家药品监督管理局颁发的第三类注册证，提供注册证复印件并加盖公章。</w:t>
            </w:r>
          </w:p>
        </w:tc>
      </w:tr>
      <w:tr w:rsidR="00BA015D" w:rsidRPr="00BA015D" w14:paraId="6991259B" w14:textId="77777777" w:rsidTr="00567630">
        <w:tc>
          <w:tcPr>
            <w:tcW w:w="1375" w:type="dxa"/>
          </w:tcPr>
          <w:p w14:paraId="1EEB60AE"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 1.2</w:t>
            </w:r>
          </w:p>
        </w:tc>
        <w:tc>
          <w:tcPr>
            <w:tcW w:w="7685" w:type="dxa"/>
          </w:tcPr>
          <w:p w14:paraId="46E8BC6B"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所投产品的钙化积分功能需经过临床验证，验证深度学习算法可以提供可靠的三种钙化积分量化结果，并可以进行心脏风险分层-进行心血管疾病风险分层管理，生产商需提供第三方机构报告或学术期刊已发表论文文献证明。</w:t>
            </w:r>
          </w:p>
        </w:tc>
      </w:tr>
      <w:tr w:rsidR="00BA015D" w:rsidRPr="00BA015D" w14:paraId="52A80F93" w14:textId="77777777" w:rsidTr="00567630">
        <w:tc>
          <w:tcPr>
            <w:tcW w:w="1375" w:type="dxa"/>
          </w:tcPr>
          <w:p w14:paraId="005C8D78"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2</w:t>
            </w:r>
          </w:p>
        </w:tc>
        <w:tc>
          <w:tcPr>
            <w:tcW w:w="7685" w:type="dxa"/>
          </w:tcPr>
          <w:p w14:paraId="79ABE61E"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病灶检出与分析。</w:t>
            </w:r>
          </w:p>
        </w:tc>
      </w:tr>
      <w:tr w:rsidR="00BA015D" w:rsidRPr="00BA015D" w14:paraId="63C58ECE" w14:textId="77777777" w:rsidTr="00567630">
        <w:tc>
          <w:tcPr>
            <w:tcW w:w="1375" w:type="dxa"/>
          </w:tcPr>
          <w:p w14:paraId="146A5A3D"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2.1</w:t>
            </w:r>
          </w:p>
        </w:tc>
        <w:tc>
          <w:tcPr>
            <w:tcW w:w="7685" w:type="dxa"/>
          </w:tcPr>
          <w:p w14:paraId="4F1495D9"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具备高清DICOM原始轴位图像功能。</w:t>
            </w:r>
          </w:p>
        </w:tc>
      </w:tr>
      <w:tr w:rsidR="00BA015D" w:rsidRPr="00BA015D" w14:paraId="79C262EA" w14:textId="77777777" w:rsidTr="00567630">
        <w:tc>
          <w:tcPr>
            <w:tcW w:w="1375" w:type="dxa"/>
          </w:tcPr>
          <w:p w14:paraId="2D046109"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2.2</w:t>
            </w:r>
          </w:p>
        </w:tc>
        <w:tc>
          <w:tcPr>
            <w:tcW w:w="7685" w:type="dxa"/>
          </w:tcPr>
          <w:p w14:paraId="1C0B54D6"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具备轴位分割可视化模块。</w:t>
            </w:r>
          </w:p>
        </w:tc>
      </w:tr>
      <w:tr w:rsidR="00BA015D" w:rsidRPr="00BA015D" w14:paraId="6496BF1D" w14:textId="77777777" w:rsidTr="00567630">
        <w:tc>
          <w:tcPr>
            <w:tcW w:w="1375" w:type="dxa"/>
          </w:tcPr>
          <w:p w14:paraId="3159AEA8"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2.3</w:t>
            </w:r>
          </w:p>
        </w:tc>
        <w:tc>
          <w:tcPr>
            <w:tcW w:w="7685" w:type="dxa"/>
          </w:tcPr>
          <w:p w14:paraId="588E426A"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具备智能识别冠脉血管分支模块。</w:t>
            </w:r>
          </w:p>
        </w:tc>
      </w:tr>
      <w:tr w:rsidR="00BA015D" w:rsidRPr="00BA015D" w14:paraId="04CFFB11" w14:textId="77777777" w:rsidTr="00567630">
        <w:tc>
          <w:tcPr>
            <w:tcW w:w="1375" w:type="dxa"/>
          </w:tcPr>
          <w:p w14:paraId="062E96E0"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2.4</w:t>
            </w:r>
          </w:p>
        </w:tc>
        <w:tc>
          <w:tcPr>
            <w:tcW w:w="7685" w:type="dxa"/>
          </w:tcPr>
          <w:p w14:paraId="445ED2F6"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具备智能区分冠脉与非冠脉组织的钙化分布功能。</w:t>
            </w:r>
          </w:p>
        </w:tc>
      </w:tr>
      <w:tr w:rsidR="00BA015D" w:rsidRPr="00BA015D" w14:paraId="5B6BF902" w14:textId="77777777" w:rsidTr="00567630">
        <w:tc>
          <w:tcPr>
            <w:tcW w:w="1375" w:type="dxa"/>
          </w:tcPr>
          <w:p w14:paraId="39DF6A88"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2.5</w:t>
            </w:r>
          </w:p>
        </w:tc>
        <w:tc>
          <w:tcPr>
            <w:tcW w:w="7685" w:type="dxa"/>
          </w:tcPr>
          <w:p w14:paraId="4B06B574"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具备自动匹配钙化分布与血管分支功能。</w:t>
            </w:r>
          </w:p>
        </w:tc>
      </w:tr>
      <w:tr w:rsidR="00BA015D" w:rsidRPr="00BA015D" w14:paraId="1501A9C2" w14:textId="77777777" w:rsidTr="00567630">
        <w:tc>
          <w:tcPr>
            <w:tcW w:w="1375" w:type="dxa"/>
          </w:tcPr>
          <w:p w14:paraId="583CA1B5"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2.6</w:t>
            </w:r>
          </w:p>
        </w:tc>
        <w:tc>
          <w:tcPr>
            <w:tcW w:w="7685" w:type="dxa"/>
          </w:tcPr>
          <w:p w14:paraId="291490BF"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具备自动量化评估血管钙化功能。</w:t>
            </w:r>
          </w:p>
        </w:tc>
      </w:tr>
      <w:tr w:rsidR="00BA015D" w:rsidRPr="00BA015D" w14:paraId="4E05E4A5" w14:textId="77777777" w:rsidTr="00567630">
        <w:tc>
          <w:tcPr>
            <w:tcW w:w="1375" w:type="dxa"/>
          </w:tcPr>
          <w:p w14:paraId="7BDA3E0E"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3</w:t>
            </w:r>
          </w:p>
        </w:tc>
        <w:tc>
          <w:tcPr>
            <w:tcW w:w="7685" w:type="dxa"/>
          </w:tcPr>
          <w:p w14:paraId="7E8BA355"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具备自动评估钙化积分程度功能。</w:t>
            </w:r>
          </w:p>
        </w:tc>
      </w:tr>
      <w:tr w:rsidR="00BA015D" w:rsidRPr="00BA015D" w14:paraId="73284821" w14:textId="77777777" w:rsidTr="00567630">
        <w:tc>
          <w:tcPr>
            <w:tcW w:w="1375" w:type="dxa"/>
          </w:tcPr>
          <w:p w14:paraId="53217604"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4</w:t>
            </w:r>
          </w:p>
        </w:tc>
        <w:tc>
          <w:tcPr>
            <w:tcW w:w="7685" w:type="dxa"/>
          </w:tcPr>
          <w:p w14:paraId="45B95CC2"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具备智能HI交互功能。</w:t>
            </w:r>
          </w:p>
        </w:tc>
      </w:tr>
      <w:tr w:rsidR="00BA015D" w:rsidRPr="00BA015D" w14:paraId="695B5133" w14:textId="77777777" w:rsidTr="00567630">
        <w:tc>
          <w:tcPr>
            <w:tcW w:w="1375" w:type="dxa"/>
          </w:tcPr>
          <w:p w14:paraId="6B640908" w14:textId="77777777" w:rsidR="00BA015D" w:rsidRPr="00BA015D" w:rsidRDefault="00BA015D" w:rsidP="00BA015D">
            <w:pPr>
              <w:rPr>
                <w:rFonts w:ascii="仿宋_GB2312" w:eastAsia="仿宋_GB2312" w:hAnsi="宋体"/>
                <w:color w:val="000000"/>
                <w:sz w:val="32"/>
                <w:szCs w:val="32"/>
              </w:rPr>
            </w:pPr>
            <w:r w:rsidRPr="00BA015D">
              <w:rPr>
                <w:rFonts w:ascii="仿宋_GB2312" w:eastAsia="仿宋_GB2312" w:hAnsi="宋体" w:hint="eastAsia"/>
                <w:color w:val="000000"/>
                <w:sz w:val="32"/>
                <w:szCs w:val="32"/>
              </w:rPr>
              <w:t>5</w:t>
            </w:r>
          </w:p>
        </w:tc>
        <w:tc>
          <w:tcPr>
            <w:tcW w:w="7685" w:type="dxa"/>
          </w:tcPr>
          <w:p w14:paraId="77BB593C" w14:textId="77777777" w:rsidR="00BA015D" w:rsidRPr="00BA015D" w:rsidRDefault="00BA015D" w:rsidP="00BA015D">
            <w:pPr>
              <w:rPr>
                <w:rFonts w:ascii="仿宋_GB2312" w:eastAsia="仿宋_GB2312" w:hAnsi="宋体" w:hint="eastAsia"/>
                <w:color w:val="000000"/>
                <w:sz w:val="32"/>
                <w:szCs w:val="32"/>
              </w:rPr>
            </w:pPr>
            <w:r w:rsidRPr="00BA015D">
              <w:rPr>
                <w:rFonts w:ascii="仿宋_GB2312" w:eastAsia="仿宋_GB2312" w:hAnsi="宋体" w:hint="eastAsia"/>
                <w:color w:val="000000"/>
                <w:sz w:val="32"/>
                <w:szCs w:val="32"/>
              </w:rPr>
              <w:t>具备自动生成的钙化积分评估报告，包括至少2</w:t>
            </w:r>
            <w:proofErr w:type="gramStart"/>
            <w:r w:rsidRPr="00BA015D">
              <w:rPr>
                <w:rFonts w:ascii="仿宋_GB2312" w:eastAsia="仿宋_GB2312" w:hAnsi="宋体" w:hint="eastAsia"/>
                <w:color w:val="000000"/>
                <w:sz w:val="32"/>
                <w:szCs w:val="32"/>
              </w:rPr>
              <w:lastRenderedPageBreak/>
              <w:t>种报告</w:t>
            </w:r>
            <w:proofErr w:type="gramEnd"/>
            <w:r w:rsidRPr="00BA015D">
              <w:rPr>
                <w:rFonts w:ascii="仿宋_GB2312" w:eastAsia="仿宋_GB2312" w:hAnsi="宋体" w:hint="eastAsia"/>
                <w:color w:val="000000"/>
                <w:sz w:val="32"/>
                <w:szCs w:val="32"/>
              </w:rPr>
              <w:t>样式，文本和图文报告。</w:t>
            </w:r>
          </w:p>
        </w:tc>
      </w:tr>
    </w:tbl>
    <w:p w14:paraId="6CFCC08C" w14:textId="77777777" w:rsidR="00332304" w:rsidRPr="00BA015D" w:rsidRDefault="00332304"/>
    <w:sectPr w:rsidR="00332304" w:rsidRPr="00BA01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9A3FC" w14:textId="77777777" w:rsidR="00CA2FF0" w:rsidRDefault="00CA2FF0" w:rsidP="00BA015D">
      <w:r>
        <w:separator/>
      </w:r>
    </w:p>
  </w:endnote>
  <w:endnote w:type="continuationSeparator" w:id="0">
    <w:p w14:paraId="70EE75AA" w14:textId="77777777" w:rsidR="00CA2FF0" w:rsidRDefault="00CA2FF0" w:rsidP="00BA0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RotisSansSerif">
    <w:altName w:val="Calibri"/>
    <w:charset w:val="00"/>
    <w:family w:val="swiss"/>
    <w:pitch w:val="default"/>
    <w:sig w:usb0="00000000" w:usb1="00000000" w:usb2="00000000" w:usb3="00000000" w:csb0="00000093"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583C5" w14:textId="77777777" w:rsidR="00CA2FF0" w:rsidRDefault="00CA2FF0" w:rsidP="00BA015D">
      <w:r>
        <w:separator/>
      </w:r>
    </w:p>
  </w:footnote>
  <w:footnote w:type="continuationSeparator" w:id="0">
    <w:p w14:paraId="6C01CBB7" w14:textId="77777777" w:rsidR="00CA2FF0" w:rsidRDefault="00CA2FF0" w:rsidP="00BA01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9F2"/>
    <w:rsid w:val="00332304"/>
    <w:rsid w:val="007369F2"/>
    <w:rsid w:val="00BA015D"/>
    <w:rsid w:val="00CA2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A23C52-4E4E-40F8-9CDB-77D044BF2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1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A015D"/>
    <w:rPr>
      <w:sz w:val="18"/>
      <w:szCs w:val="18"/>
    </w:rPr>
  </w:style>
  <w:style w:type="paragraph" w:styleId="a5">
    <w:name w:val="footer"/>
    <w:basedOn w:val="a"/>
    <w:link w:val="a6"/>
    <w:uiPriority w:val="99"/>
    <w:unhideWhenUsed/>
    <w:rsid w:val="00BA015D"/>
    <w:pPr>
      <w:tabs>
        <w:tab w:val="center" w:pos="4153"/>
        <w:tab w:val="right" w:pos="8306"/>
      </w:tabs>
      <w:snapToGrid w:val="0"/>
      <w:jc w:val="left"/>
    </w:pPr>
    <w:rPr>
      <w:sz w:val="18"/>
      <w:szCs w:val="18"/>
    </w:rPr>
  </w:style>
  <w:style w:type="character" w:customStyle="1" w:styleId="a6">
    <w:name w:val="页脚 字符"/>
    <w:basedOn w:val="a0"/>
    <w:link w:val="a5"/>
    <w:uiPriority w:val="99"/>
    <w:rsid w:val="00BA015D"/>
    <w:rPr>
      <w:sz w:val="18"/>
      <w:szCs w:val="18"/>
    </w:rPr>
  </w:style>
  <w:style w:type="table" w:styleId="a7">
    <w:name w:val="Table Grid"/>
    <w:basedOn w:val="a1"/>
    <w:rsid w:val="00BA015D"/>
    <w:pPr>
      <w:widowControl w:val="0"/>
      <w:jc w:val="both"/>
    </w:pPr>
    <w:rPr>
      <w:rFonts w:ascii="RotisSansSerif" w:eastAsia="宋体" w:hAnsi="RotisSansSerif" w:cs="Arial"/>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2026-05-27T05:59:00Z</dcterms:created>
  <dcterms:modified xsi:type="dcterms:W3CDTF">2026-05-27T05:59:00Z</dcterms:modified>
</cp:coreProperties>
</file>