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24F12">
      <w:pPr>
        <w:jc w:val="center"/>
        <w:rPr>
          <w:rFonts w:ascii="黑体" w:hAnsi="黑体" w:eastAsia="黑体"/>
          <w:b/>
          <w:sz w:val="32"/>
          <w:szCs w:val="21"/>
          <w:lang w:eastAsia="zh-CN"/>
        </w:rPr>
      </w:pPr>
      <w:r>
        <w:rPr>
          <w:rFonts w:ascii="黑体" w:hAnsi="黑体" w:eastAsia="黑体"/>
          <w:b/>
          <w:sz w:val="32"/>
          <w:szCs w:val="21"/>
          <w:lang w:eastAsia="zh-CN"/>
        </w:rPr>
        <w:t>模拟失重溃疡性结肠炎大鼠模型构建及</w:t>
      </w:r>
      <w:r>
        <w:rPr>
          <w:rFonts w:hint="eastAsia" w:ascii="黑体" w:hAnsi="黑体" w:eastAsia="黑体"/>
          <w:b/>
          <w:sz w:val="32"/>
          <w:szCs w:val="21"/>
          <w:lang w:eastAsia="zh-CN"/>
        </w:rPr>
        <w:t>相关检测的目标服务需求</w:t>
      </w:r>
    </w:p>
    <w:p w14:paraId="544C17A8">
      <w:pPr>
        <w:pStyle w:val="2"/>
        <w:rPr>
          <w:rFonts w:ascii="宋体" w:hAnsi="宋体" w:eastAsia="宋体"/>
          <w:sz w:val="24"/>
          <w:lang w:eastAsia="zh-CN"/>
        </w:rPr>
      </w:pPr>
      <w:r>
        <w:rPr>
          <w:rFonts w:ascii="宋体" w:hAnsi="宋体" w:eastAsia="宋体"/>
          <w:sz w:val="24"/>
          <w:lang w:eastAsia="zh-CN"/>
        </w:rPr>
        <w:t>一、服务内容</w:t>
      </w:r>
    </w:p>
    <w:p w14:paraId="06347368">
      <w:pPr>
        <w:ind w:firstLine="480"/>
        <w:rPr>
          <w:lang w:eastAsia="zh-CN"/>
        </w:rPr>
      </w:pPr>
      <w:r>
        <w:rPr>
          <w:lang w:eastAsia="zh-CN"/>
        </w:rPr>
        <w:t>本次院外合作聚焦</w:t>
      </w:r>
      <w:r>
        <w:rPr>
          <w:rFonts w:hint="eastAsia"/>
          <w:lang w:eastAsia="zh-CN"/>
        </w:rPr>
        <w:t>本</w:t>
      </w:r>
      <w:r>
        <w:rPr>
          <w:lang w:eastAsia="zh-CN"/>
        </w:rPr>
        <w:t>项目</w:t>
      </w:r>
      <w:r>
        <w:rPr>
          <w:rFonts w:hint="eastAsia"/>
          <w:lang w:eastAsia="zh-CN"/>
        </w:rPr>
        <w:t>中</w:t>
      </w:r>
      <w:r>
        <w:rPr>
          <w:lang w:eastAsia="zh-CN"/>
        </w:rPr>
        <w:t>“模拟失重溃疡性结肠炎大鼠模型构建”及相关样本制备与交付；同时根据甲方后续分子检测需要，乙方协助完成mRNA检测引物及甲基化检测引物设计。</w:t>
      </w:r>
    </w:p>
    <w:tbl>
      <w:tblPr>
        <w:tblStyle w:val="36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541"/>
      </w:tblGrid>
      <w:tr w14:paraId="0437AC68">
        <w:tblPrEx>
          <w:tblLayout w:type="fixed"/>
        </w:tblPrEx>
        <w:trPr>
          <w:jc w:val="center"/>
        </w:trPr>
        <w:tc>
          <w:tcPr>
            <w:tcW w:w="2977" w:type="dxa"/>
            <w:shd w:val="clear" w:color="auto" w:fill="D9EAF7"/>
            <w:vAlign w:val="center"/>
          </w:tcPr>
          <w:p w14:paraId="253C1B6C">
            <w:pPr>
              <w:spacing w:after="0" w:line="288" w:lineRule="auto"/>
            </w:pPr>
            <w:r>
              <w:rPr>
                <w:b/>
                <w:sz w:val="21"/>
              </w:rPr>
              <w:t>服务模块</w:t>
            </w:r>
          </w:p>
        </w:tc>
        <w:tc>
          <w:tcPr>
            <w:tcW w:w="6541" w:type="dxa"/>
            <w:shd w:val="clear" w:color="auto" w:fill="D9EAF7"/>
            <w:vAlign w:val="center"/>
          </w:tcPr>
          <w:p w14:paraId="0DF4D262">
            <w:pPr>
              <w:spacing w:after="0" w:line="288" w:lineRule="auto"/>
            </w:pPr>
            <w:r>
              <w:rPr>
                <w:b/>
                <w:sz w:val="21"/>
              </w:rPr>
              <w:t>具体内容</w:t>
            </w:r>
          </w:p>
        </w:tc>
      </w:tr>
      <w:tr w14:paraId="64486B2A">
        <w:tblPrEx>
          <w:tblLayout w:type="fixed"/>
        </w:tblPrEx>
        <w:trPr>
          <w:jc w:val="center"/>
        </w:trPr>
        <w:tc>
          <w:tcPr>
            <w:tcW w:w="2977" w:type="dxa"/>
            <w:vAlign w:val="center"/>
          </w:tcPr>
          <w:p w14:paraId="66DDCB19">
            <w:pPr>
              <w:spacing w:after="0" w:line="288" w:lineRule="auto"/>
            </w:pPr>
            <w:r>
              <w:rPr>
                <w:sz w:val="21"/>
              </w:rPr>
              <w:t>1. 研究对象</w:t>
            </w:r>
          </w:p>
        </w:tc>
        <w:tc>
          <w:tcPr>
            <w:tcW w:w="6541" w:type="dxa"/>
            <w:vAlign w:val="center"/>
          </w:tcPr>
          <w:p w14:paraId="65C57C8F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SPF级雄性SD大鼠，体重约280 g；暂按4组设置</w:t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rFonts w:hint="eastAsia"/>
                <w:sz w:val="21"/>
                <w:lang w:val="en-US" w:eastAsia="zh-CN"/>
              </w:rPr>
              <w:t>每组15只</w:t>
            </w:r>
            <w:r>
              <w:rPr>
                <w:sz w:val="21"/>
                <w:lang w:eastAsia="zh-CN"/>
              </w:rPr>
              <w:t>：正常重力组（NG）、模拟失重组（SMG）、正常重力溃疡性结肠炎组（NG-UC）、模拟失重溃疡性结肠炎组（SMG-UC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。</w:t>
            </w:r>
          </w:p>
        </w:tc>
      </w:tr>
      <w:tr w14:paraId="598C6DCF">
        <w:tblPrEx>
          <w:tblLayout w:type="fixed"/>
        </w:tblPrEx>
        <w:trPr>
          <w:jc w:val="center"/>
        </w:trPr>
        <w:tc>
          <w:tcPr>
            <w:tcW w:w="2977" w:type="dxa"/>
            <w:vAlign w:val="center"/>
          </w:tcPr>
          <w:p w14:paraId="494415B4">
            <w:pPr>
              <w:spacing w:after="0" w:line="288" w:lineRule="auto"/>
            </w:pPr>
            <w:r>
              <w:rPr>
                <w:sz w:val="21"/>
              </w:rPr>
              <w:t>2. 模拟失重模型</w:t>
            </w:r>
          </w:p>
        </w:tc>
        <w:tc>
          <w:tcPr>
            <w:tcW w:w="6541" w:type="dxa"/>
            <w:vAlign w:val="center"/>
          </w:tcPr>
          <w:p w14:paraId="5401865D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采用大鼠尾悬吊/后肢卸载模型模拟微重力效应。尾悬吊期间保证大鼠后肢处于空载状态，可自由进食、饮水，并每日记录体重、饮食、精神状态、尾部固定状态及异常情况。</w:t>
            </w:r>
          </w:p>
        </w:tc>
      </w:tr>
      <w:tr w14:paraId="3C33872A">
        <w:tblPrEx>
          <w:tblLayout w:type="fixed"/>
        </w:tblPrEx>
        <w:trPr>
          <w:jc w:val="center"/>
        </w:trPr>
        <w:tc>
          <w:tcPr>
            <w:tcW w:w="2977" w:type="dxa"/>
            <w:vAlign w:val="center"/>
          </w:tcPr>
          <w:p w14:paraId="7B5D77BC">
            <w:pPr>
              <w:spacing w:after="0" w:line="288" w:lineRule="auto"/>
            </w:pPr>
            <w:r>
              <w:rPr>
                <w:sz w:val="21"/>
              </w:rPr>
              <w:t>3. 溃疡性结肠炎诱导</w:t>
            </w:r>
          </w:p>
        </w:tc>
        <w:tc>
          <w:tcPr>
            <w:tcW w:w="6541" w:type="dxa"/>
            <w:vAlign w:val="center"/>
          </w:tcPr>
          <w:p w14:paraId="4BC769D2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在模型基础上，采用3%DSS自由饮水诱导溃疡性结肠炎模型。参考技术路线：尾悬吊7 d后，给予3%DSS诱导7 d，并在诱导期间继续尾悬吊；具体周期可根据伦理批件、预实验结果及甲方确认方案微调。</w:t>
            </w:r>
          </w:p>
        </w:tc>
      </w:tr>
      <w:tr w14:paraId="363E62A3">
        <w:tblPrEx>
          <w:tblLayout w:type="fixed"/>
        </w:tblPrEx>
        <w:trPr>
          <w:jc w:val="center"/>
        </w:trPr>
        <w:tc>
          <w:tcPr>
            <w:tcW w:w="2977" w:type="dxa"/>
            <w:vAlign w:val="center"/>
          </w:tcPr>
          <w:p w14:paraId="1FD522FD">
            <w:pPr>
              <w:spacing w:after="0" w:line="288" w:lineRule="auto"/>
            </w:pPr>
            <w:r>
              <w:rPr>
                <w:sz w:val="21"/>
              </w:rPr>
              <w:t>4. 损伤表型记录</w:t>
            </w:r>
          </w:p>
        </w:tc>
        <w:tc>
          <w:tcPr>
            <w:tcW w:w="6541" w:type="dxa"/>
            <w:vAlign w:val="center"/>
          </w:tcPr>
          <w:p w14:paraId="4EABF763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进行DAI评分并记录体重下降、粪便性状和便血/隐血情况；可同步记录结肠长度、肉眼形态、建模过程照片等。乙方仅提供观察记录和原始表格，后续统计分析由甲方完成。</w:t>
            </w:r>
          </w:p>
        </w:tc>
      </w:tr>
      <w:tr w14:paraId="71221B85">
        <w:tblPrEx>
          <w:tblLayout w:type="fixed"/>
        </w:tblPrEx>
        <w:trPr>
          <w:jc w:val="center"/>
        </w:trPr>
        <w:tc>
          <w:tcPr>
            <w:tcW w:w="2977" w:type="dxa"/>
            <w:vAlign w:val="center"/>
          </w:tcPr>
          <w:p w14:paraId="125AE09B">
            <w:pPr>
              <w:spacing w:after="0" w:line="288" w:lineRule="auto"/>
            </w:pPr>
            <w:r>
              <w:rPr>
                <w:sz w:val="21"/>
              </w:rPr>
              <w:t>5. 组织形态学样本提供</w:t>
            </w:r>
          </w:p>
        </w:tc>
        <w:tc>
          <w:tcPr>
            <w:tcW w:w="6541" w:type="dxa"/>
            <w:vAlign w:val="center"/>
          </w:tcPr>
          <w:p w14:paraId="43676889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乙方按甲方要求采集结肠/肠组织样本，并按约定方式交付甲方。固定、脱水、包埋、切片、HE染色、显微图像采集及病理/组织学评分由甲方自行完成。</w:t>
            </w:r>
          </w:p>
        </w:tc>
      </w:tr>
      <w:tr w14:paraId="6BE30586">
        <w:tblPrEx>
          <w:tblLayout w:type="fixed"/>
        </w:tblPrEx>
        <w:trPr>
          <w:jc w:val="center"/>
        </w:trPr>
        <w:tc>
          <w:tcPr>
            <w:tcW w:w="2977" w:type="dxa"/>
            <w:vAlign w:val="center"/>
          </w:tcPr>
          <w:p w14:paraId="4486AFA8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6. 炎症因子检测样本提供</w:t>
            </w:r>
          </w:p>
        </w:tc>
        <w:tc>
          <w:tcPr>
            <w:tcW w:w="6541" w:type="dxa"/>
            <w:vAlign w:val="center"/>
          </w:tcPr>
          <w:p w14:paraId="7E0DA0E9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乙方采集结肠黏膜或肠黏膜组织样本，用于甲方后续自行检测IL-6、TNF-</w:t>
            </w:r>
            <w:r>
              <w:rPr>
                <w:sz w:val="21"/>
              </w:rPr>
              <w:t>α</w:t>
            </w:r>
            <w:r>
              <w:rPr>
                <w:sz w:val="21"/>
                <w:lang w:eastAsia="zh-CN"/>
              </w:rPr>
              <w:t>表达水平。乙方负责样本编号、称重/记录、分装、低温保存及交付，不负责ELISA检测、标准曲线、浓度计算及检测报告。</w:t>
            </w:r>
          </w:p>
        </w:tc>
      </w:tr>
      <w:tr w14:paraId="04C99B64">
        <w:tblPrEx>
          <w:tblLayout w:type="fixed"/>
        </w:tblPrEx>
        <w:trPr>
          <w:jc w:val="center"/>
        </w:trPr>
        <w:tc>
          <w:tcPr>
            <w:tcW w:w="2977" w:type="dxa"/>
            <w:vAlign w:val="center"/>
          </w:tcPr>
          <w:p w14:paraId="7F57E1AF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7. 肠道通透性检测样本提供</w:t>
            </w:r>
          </w:p>
        </w:tc>
        <w:tc>
          <w:tcPr>
            <w:tcW w:w="6541" w:type="dxa"/>
            <w:vAlign w:val="center"/>
          </w:tcPr>
          <w:p w14:paraId="6979E817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乙方采集实验大鼠外周血，用于甲方后续自行检测内毒素（ET）水平。乙方负责血样采集</w:t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rPr>
                <w:sz w:val="21"/>
                <w:lang w:eastAsia="zh-CN"/>
              </w:rPr>
              <w:t>编号、低温保存及交付，不负责ET检测及检测报告。</w:t>
            </w:r>
          </w:p>
        </w:tc>
      </w:tr>
      <w:tr w14:paraId="23B8440B">
        <w:tblPrEx>
          <w:tblLayout w:type="fixed"/>
        </w:tblPrEx>
        <w:trPr>
          <w:jc w:val="center"/>
        </w:trPr>
        <w:tc>
          <w:tcPr>
            <w:tcW w:w="2977" w:type="dxa"/>
            <w:vAlign w:val="center"/>
          </w:tcPr>
          <w:p w14:paraId="455B076C">
            <w:pPr>
              <w:spacing w:after="0" w:line="288" w:lineRule="auto"/>
            </w:pPr>
            <w:r>
              <w:rPr>
                <w:sz w:val="21"/>
              </w:rPr>
              <w:t>8. 分子检测引物设计</w:t>
            </w:r>
          </w:p>
        </w:tc>
        <w:tc>
          <w:tcPr>
            <w:tcW w:w="6541" w:type="dxa"/>
            <w:vAlign w:val="center"/>
          </w:tcPr>
          <w:p w14:paraId="503887A2">
            <w:pPr>
              <w:spacing w:after="0" w:line="288" w:lineRule="auto"/>
            </w:pPr>
            <w:r>
              <w:rPr>
                <w:sz w:val="21"/>
                <w:lang w:eastAsia="zh-CN"/>
              </w:rPr>
              <w:t>乙方协助设计mRNA检测引物和甲基化检测引物。建议mRNA目标基因包括MLCK、DNMT1、DNMT3A、DNMT3B及内参基因；甲基化检测目标基因包括MLCK、CDKN2A、MLH1、APC及必要内参/质控序列。</w:t>
            </w:r>
            <w:r>
              <w:rPr>
                <w:sz w:val="21"/>
              </w:rPr>
              <w:t>乙方需提供引物设计表和特异性验证记录。</w:t>
            </w:r>
          </w:p>
        </w:tc>
      </w:tr>
    </w:tbl>
    <w:p w14:paraId="2DFD1925">
      <w:pPr>
        <w:pStyle w:val="2"/>
        <w:rPr>
          <w:rFonts w:ascii="宋体" w:hAnsi="宋体" w:eastAsia="宋体"/>
          <w:sz w:val="24"/>
          <w:lang w:eastAsia="zh-CN"/>
        </w:rPr>
      </w:pPr>
    </w:p>
    <w:p w14:paraId="391DDB7A">
      <w:pPr>
        <w:rPr>
          <w:rFonts w:ascii="宋体" w:hAnsi="宋体" w:eastAsia="宋体"/>
          <w:sz w:val="24"/>
          <w:lang w:eastAsia="zh-CN"/>
        </w:rPr>
      </w:pPr>
    </w:p>
    <w:p w14:paraId="672867B1">
      <w:pPr>
        <w:rPr>
          <w:rFonts w:ascii="宋体" w:hAnsi="宋体" w:eastAsia="宋体"/>
          <w:sz w:val="24"/>
          <w:lang w:eastAsia="zh-CN"/>
        </w:rPr>
      </w:pPr>
    </w:p>
    <w:p w14:paraId="18FF3219">
      <w:pPr>
        <w:rPr>
          <w:rFonts w:ascii="宋体" w:hAnsi="宋体" w:eastAsia="宋体"/>
          <w:sz w:val="24"/>
          <w:lang w:eastAsia="zh-CN"/>
        </w:rPr>
      </w:pPr>
    </w:p>
    <w:tbl>
      <w:tblPr>
        <w:tblStyle w:val="165"/>
        <w:tblW w:w="0" w:type="auto"/>
        <w:tblInd w:w="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6"/>
        <w:gridCol w:w="1437"/>
        <w:gridCol w:w="1437"/>
        <w:gridCol w:w="1433"/>
        <w:gridCol w:w="1457"/>
      </w:tblGrid>
      <w:tr w14:paraId="47551276">
        <w:tblPrEx>
          <w:tblLayout w:type="fixed"/>
        </w:tblPrEx>
        <w:trPr>
          <w:trHeight w:val="1158" w:hRule="atLeast"/>
        </w:trPr>
        <w:tc>
          <w:tcPr>
            <w:tcW w:w="1456" w:type="dxa"/>
            <w:vAlign w:val="top"/>
          </w:tcPr>
          <w:p w14:paraId="1AC4A452">
            <w:pPr>
              <w:pStyle w:val="164"/>
              <w:spacing w:before="39" w:line="200" w:lineRule="auto"/>
              <w:ind w:left="116" w:right="254" w:hanging="1"/>
              <w:rPr>
                <w:rFonts w:hint="eastAsia" w:ascii="黑体" w:hAnsi="黑体" w:eastAsia="黑体" w:cs="黑体"/>
                <w:color w:val="000008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8"/>
                <w:spacing w:val="-2"/>
                <w:sz w:val="24"/>
                <w:szCs w:val="24"/>
                <w:lang w:val="en-US" w:eastAsia="zh-CN"/>
              </w:rPr>
              <w:t>建设模块类别</w:t>
            </w:r>
          </w:p>
        </w:tc>
        <w:tc>
          <w:tcPr>
            <w:tcW w:w="1437" w:type="dxa"/>
            <w:vAlign w:val="top"/>
          </w:tcPr>
          <w:p w14:paraId="69198715">
            <w:pPr>
              <w:pStyle w:val="164"/>
              <w:spacing w:before="11" w:line="174" w:lineRule="auto"/>
              <w:ind w:left="96" w:right="201" w:firstLine="14"/>
              <w:jc w:val="both"/>
              <w:rPr>
                <w:rFonts w:hint="eastAsia" w:ascii="黑体" w:hAnsi="黑体" w:eastAsia="黑体" w:cs="黑体"/>
                <w:color w:val="000008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8"/>
                <w:spacing w:val="4"/>
                <w:sz w:val="24"/>
                <w:szCs w:val="24"/>
                <w:lang w:val="en-US" w:eastAsia="zh-CN"/>
              </w:rPr>
              <w:t>具体细分服务</w:t>
            </w:r>
          </w:p>
        </w:tc>
        <w:tc>
          <w:tcPr>
            <w:tcW w:w="1437" w:type="dxa"/>
            <w:vAlign w:val="top"/>
          </w:tcPr>
          <w:p w14:paraId="2810F27A">
            <w:pPr>
              <w:pStyle w:val="164"/>
              <w:spacing w:before="43" w:line="191" w:lineRule="auto"/>
              <w:ind w:left="541"/>
              <w:rPr>
                <w:rFonts w:hint="eastAsia" w:ascii="黑体" w:hAnsi="黑体" w:eastAsia="黑体" w:cs="黑体"/>
                <w:color w:val="000008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8"/>
                <w:spacing w:val="-2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433" w:type="dxa"/>
            <w:vAlign w:val="top"/>
          </w:tcPr>
          <w:p w14:paraId="5808B234">
            <w:pPr>
              <w:spacing w:before="57" w:line="188" w:lineRule="auto"/>
              <w:ind w:left="603"/>
              <w:rPr>
                <w:rFonts w:hint="eastAsia" w:ascii="黑体" w:hAnsi="黑体" w:eastAsia="黑体" w:cs="黑体"/>
                <w:color w:val="000008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8"/>
                <w:spacing w:val="-3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57" w:type="dxa"/>
            <w:vAlign w:val="top"/>
          </w:tcPr>
          <w:p w14:paraId="10B63D22">
            <w:pPr>
              <w:spacing w:before="58" w:line="188" w:lineRule="auto"/>
              <w:ind w:left="420"/>
              <w:rPr>
                <w:rFonts w:hint="eastAsia" w:ascii="黑体" w:hAnsi="黑体" w:eastAsia="黑体" w:cs="黑体"/>
                <w:color w:val="000008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8"/>
                <w:spacing w:val="-7"/>
                <w:sz w:val="24"/>
                <w:szCs w:val="24"/>
                <w:lang w:val="en-US" w:eastAsia="zh-CN"/>
              </w:rPr>
              <w:t>金额（元）</w:t>
            </w:r>
          </w:p>
        </w:tc>
      </w:tr>
      <w:tr w14:paraId="667F75F6">
        <w:tblPrEx>
          <w:tblLayout w:type="fixed"/>
        </w:tblPrEx>
        <w:trPr>
          <w:trHeight w:val="1158" w:hRule="atLeast"/>
        </w:trPr>
        <w:tc>
          <w:tcPr>
            <w:tcW w:w="1456" w:type="dxa"/>
            <w:vAlign w:val="top"/>
          </w:tcPr>
          <w:p w14:paraId="171FB54B">
            <w:pPr>
              <w:pStyle w:val="164"/>
              <w:spacing w:before="39" w:line="200" w:lineRule="auto"/>
              <w:ind w:left="116" w:right="254" w:hanging="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分子检测与验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>证</w:t>
            </w:r>
          </w:p>
        </w:tc>
        <w:tc>
          <w:tcPr>
            <w:tcW w:w="1437" w:type="dxa"/>
            <w:vAlign w:val="top"/>
          </w:tcPr>
          <w:p w14:paraId="34A76DB5">
            <w:pPr>
              <w:pStyle w:val="164"/>
              <w:spacing w:before="11" w:line="174" w:lineRule="auto"/>
              <w:ind w:left="96" w:right="201" w:firstLine="1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4"/>
                <w:sz w:val="21"/>
                <w:szCs w:val="21"/>
              </w:rPr>
              <w:t>多器官组织高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6"/>
                <w:sz w:val="21"/>
                <w:szCs w:val="21"/>
              </w:rPr>
              <w:t>效率均匀匀浆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1"/>
                <w:sz w:val="21"/>
                <w:szCs w:val="21"/>
              </w:rPr>
              <w:t>及  Total  RNA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6"/>
                <w:sz w:val="21"/>
                <w:szCs w:val="21"/>
              </w:rPr>
              <w:t>抽提并前置质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"/>
                <w:sz w:val="21"/>
                <w:szCs w:val="21"/>
              </w:rPr>
              <w:t>控</w:t>
            </w:r>
          </w:p>
        </w:tc>
        <w:tc>
          <w:tcPr>
            <w:tcW w:w="1437" w:type="dxa"/>
            <w:vAlign w:val="top"/>
          </w:tcPr>
          <w:p w14:paraId="79B479DB">
            <w:pPr>
              <w:pStyle w:val="164"/>
              <w:spacing w:before="43" w:line="191" w:lineRule="auto"/>
              <w:ind w:left="54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样本</w:t>
            </w:r>
          </w:p>
        </w:tc>
        <w:tc>
          <w:tcPr>
            <w:tcW w:w="1433" w:type="dxa"/>
            <w:vAlign w:val="top"/>
          </w:tcPr>
          <w:p w14:paraId="4BAF89FF">
            <w:pPr>
              <w:spacing w:before="57" w:line="188" w:lineRule="auto"/>
              <w:ind w:left="60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  <w:t>240</w:t>
            </w:r>
          </w:p>
        </w:tc>
        <w:tc>
          <w:tcPr>
            <w:tcW w:w="1457" w:type="dxa"/>
            <w:vAlign w:val="top"/>
          </w:tcPr>
          <w:p w14:paraId="58854BFD">
            <w:pPr>
              <w:spacing w:before="58" w:line="188" w:lineRule="auto"/>
              <w:ind w:left="42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2970A98">
        <w:tblPrEx>
          <w:tblLayout w:type="fixed"/>
        </w:tblPrEx>
        <w:trPr>
          <w:trHeight w:val="928" w:hRule="atLeast"/>
        </w:trPr>
        <w:tc>
          <w:tcPr>
            <w:tcW w:w="1456" w:type="dxa"/>
            <w:vAlign w:val="top"/>
          </w:tcPr>
          <w:p w14:paraId="4800F4DC">
            <w:pPr>
              <w:pStyle w:val="164"/>
              <w:spacing w:before="42" w:line="200" w:lineRule="auto"/>
              <w:ind w:left="116" w:right="254" w:hanging="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分子检测与验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>证</w:t>
            </w:r>
          </w:p>
        </w:tc>
        <w:tc>
          <w:tcPr>
            <w:tcW w:w="1437" w:type="dxa"/>
            <w:vAlign w:val="top"/>
          </w:tcPr>
          <w:p w14:paraId="09428CDC">
            <w:pPr>
              <w:pStyle w:val="164"/>
              <w:spacing w:before="31" w:line="174" w:lineRule="auto"/>
              <w:ind w:left="10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组织基因组</w:t>
            </w:r>
          </w:p>
          <w:p w14:paraId="46AC36D8">
            <w:pPr>
              <w:pStyle w:val="164"/>
              <w:spacing w:before="1" w:line="189" w:lineRule="auto"/>
              <w:ind w:left="95" w:right="25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DNA  (gDNA)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8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  <w:t>提取、转化与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1"/>
                <w:sz w:val="21"/>
                <w:szCs w:val="21"/>
              </w:rPr>
              <w:t>前置质控</w:t>
            </w:r>
          </w:p>
        </w:tc>
        <w:tc>
          <w:tcPr>
            <w:tcW w:w="1437" w:type="dxa"/>
            <w:vAlign w:val="top"/>
          </w:tcPr>
          <w:p w14:paraId="2EFAAF6F">
            <w:pPr>
              <w:pStyle w:val="164"/>
              <w:spacing w:before="51" w:line="191" w:lineRule="auto"/>
              <w:ind w:left="54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样本</w:t>
            </w:r>
          </w:p>
        </w:tc>
        <w:tc>
          <w:tcPr>
            <w:tcW w:w="1433" w:type="dxa"/>
            <w:vAlign w:val="top"/>
          </w:tcPr>
          <w:p w14:paraId="7645FFCC">
            <w:pPr>
              <w:spacing w:before="65" w:line="188" w:lineRule="auto"/>
              <w:ind w:left="60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  <w:t>240</w:t>
            </w:r>
          </w:p>
        </w:tc>
        <w:tc>
          <w:tcPr>
            <w:tcW w:w="1457" w:type="dxa"/>
            <w:vAlign w:val="top"/>
          </w:tcPr>
          <w:p w14:paraId="336551CB">
            <w:pPr>
              <w:spacing w:before="66" w:line="188" w:lineRule="auto"/>
              <w:ind w:left="40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C41F180">
        <w:tblPrEx>
          <w:tblLayout w:type="fixed"/>
        </w:tblPrEx>
        <w:trPr>
          <w:trHeight w:val="923" w:hRule="atLeast"/>
        </w:trPr>
        <w:tc>
          <w:tcPr>
            <w:tcW w:w="1456" w:type="dxa"/>
            <w:vAlign w:val="top"/>
          </w:tcPr>
          <w:p w14:paraId="7021323A">
            <w:pPr>
              <w:pStyle w:val="164"/>
              <w:spacing w:before="40" w:line="196" w:lineRule="auto"/>
              <w:ind w:left="116" w:right="253" w:firstLine="16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5"/>
                <w:sz w:val="21"/>
                <w:szCs w:val="21"/>
              </w:rPr>
              <w:t>引物工程与合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"/>
                <w:sz w:val="21"/>
                <w:szCs w:val="21"/>
              </w:rPr>
              <w:t>成</w:t>
            </w:r>
          </w:p>
        </w:tc>
        <w:tc>
          <w:tcPr>
            <w:tcW w:w="1437" w:type="dxa"/>
            <w:vAlign w:val="top"/>
          </w:tcPr>
          <w:p w14:paraId="47FE8B8F">
            <w:pPr>
              <w:pStyle w:val="164"/>
              <w:spacing w:before="57" w:line="179" w:lineRule="auto"/>
              <w:ind w:left="97" w:right="202" w:hanging="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 xml:space="preserve">mRNA  qPCR  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及 表观遗传学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引物深度设计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1"/>
                <w:sz w:val="21"/>
                <w:szCs w:val="21"/>
              </w:rPr>
              <w:t>合成</w:t>
            </w:r>
          </w:p>
        </w:tc>
        <w:tc>
          <w:tcPr>
            <w:tcW w:w="1437" w:type="dxa"/>
            <w:vAlign w:val="top"/>
          </w:tcPr>
          <w:p w14:paraId="069B689C">
            <w:pPr>
              <w:pStyle w:val="164"/>
              <w:spacing w:before="56" w:line="187" w:lineRule="auto"/>
              <w:ind w:left="63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>对</w:t>
            </w:r>
          </w:p>
        </w:tc>
        <w:tc>
          <w:tcPr>
            <w:tcW w:w="1433" w:type="dxa"/>
            <w:vAlign w:val="top"/>
          </w:tcPr>
          <w:p w14:paraId="2BDE948B">
            <w:pPr>
              <w:spacing w:before="68" w:line="188" w:lineRule="auto"/>
              <w:ind w:left="62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8"/>
                <w:sz w:val="21"/>
                <w:szCs w:val="21"/>
              </w:rPr>
              <w:t>14x2</w:t>
            </w:r>
          </w:p>
        </w:tc>
        <w:tc>
          <w:tcPr>
            <w:tcW w:w="1457" w:type="dxa"/>
            <w:vAlign w:val="top"/>
          </w:tcPr>
          <w:p w14:paraId="7F61B08D">
            <w:pPr>
              <w:spacing w:before="63" w:line="188" w:lineRule="auto"/>
              <w:ind w:left="45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DDC5BEC">
        <w:tblPrEx>
          <w:tblLayout w:type="fixed"/>
        </w:tblPrEx>
        <w:trPr>
          <w:trHeight w:val="947" w:hRule="atLeast"/>
        </w:trPr>
        <w:tc>
          <w:tcPr>
            <w:tcW w:w="1456" w:type="dxa"/>
            <w:vAlign w:val="top"/>
          </w:tcPr>
          <w:p w14:paraId="3D5301C0">
            <w:pPr>
              <w:pStyle w:val="164"/>
              <w:spacing w:before="55" w:line="215" w:lineRule="auto"/>
              <w:ind w:left="120" w:right="254" w:firstLine="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  <w:t>探针设计与合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"/>
                <w:sz w:val="21"/>
                <w:szCs w:val="21"/>
              </w:rPr>
              <w:t xml:space="preserve"> 成</w:t>
            </w:r>
          </w:p>
        </w:tc>
        <w:tc>
          <w:tcPr>
            <w:tcW w:w="1437" w:type="dxa"/>
            <w:vAlign w:val="top"/>
          </w:tcPr>
          <w:p w14:paraId="0F48300D">
            <w:pPr>
              <w:pStyle w:val="164"/>
              <w:spacing w:before="90" w:line="216" w:lineRule="auto"/>
              <w:ind w:left="96" w:right="141" w:hanging="1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>MethyLight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"/>
                <w:sz w:val="21"/>
                <w:szCs w:val="21"/>
              </w:rPr>
              <w:t xml:space="preserve">   法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7"/>
                <w:sz w:val="21"/>
                <w:szCs w:val="21"/>
              </w:rPr>
              <w:t>检测基因启动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子区甲基化</w:t>
            </w:r>
          </w:p>
        </w:tc>
        <w:tc>
          <w:tcPr>
            <w:tcW w:w="1437" w:type="dxa"/>
            <w:vAlign w:val="top"/>
          </w:tcPr>
          <w:p w14:paraId="37C1D192">
            <w:pPr>
              <w:pStyle w:val="164"/>
              <w:spacing w:before="58" w:line="187" w:lineRule="auto"/>
              <w:ind w:left="54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>对</w:t>
            </w:r>
          </w:p>
        </w:tc>
        <w:tc>
          <w:tcPr>
            <w:tcW w:w="1433" w:type="dxa"/>
            <w:vAlign w:val="top"/>
          </w:tcPr>
          <w:p w14:paraId="7FFFEEE6">
            <w:pPr>
              <w:spacing w:before="71" w:line="188" w:lineRule="auto"/>
              <w:ind w:left="60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4"/>
                <w:sz w:val="21"/>
                <w:szCs w:val="21"/>
              </w:rPr>
              <w:t>5x2</w:t>
            </w:r>
          </w:p>
        </w:tc>
        <w:tc>
          <w:tcPr>
            <w:tcW w:w="1457" w:type="dxa"/>
            <w:vAlign w:val="top"/>
          </w:tcPr>
          <w:p w14:paraId="140C6D1F">
            <w:pPr>
              <w:spacing w:before="71" w:line="188" w:lineRule="auto"/>
              <w:ind w:left="40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F547A3F">
        <w:tblPrEx>
          <w:tblLayout w:type="fixed"/>
        </w:tblPrEx>
        <w:trPr>
          <w:trHeight w:val="947" w:hRule="atLeast"/>
        </w:trPr>
        <w:tc>
          <w:tcPr>
            <w:tcW w:w="1456" w:type="dxa"/>
            <w:vAlign w:val="top"/>
          </w:tcPr>
          <w:p w14:paraId="1D688593">
            <w:pPr>
              <w:pStyle w:val="164"/>
              <w:spacing w:before="53" w:line="192" w:lineRule="auto"/>
              <w:ind w:left="122" w:leftChars="0"/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  <w:t>实时定量扩增</w:t>
            </w:r>
          </w:p>
        </w:tc>
        <w:tc>
          <w:tcPr>
            <w:tcW w:w="1437" w:type="dxa"/>
            <w:vAlign w:val="top"/>
          </w:tcPr>
          <w:p w14:paraId="7AEB6D47">
            <w:pPr>
              <w:pStyle w:val="164"/>
              <w:spacing w:before="22" w:line="173" w:lineRule="auto"/>
              <w:ind w:left="96" w:leftChars="0" w:right="141" w:rightChars="0" w:hanging="1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>RNA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39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 xml:space="preserve">高效逆转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6"/>
                <w:sz w:val="21"/>
                <w:szCs w:val="21"/>
              </w:rPr>
              <w:t>录与实时荧光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qPCR 检测运行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(含三重孔)</w:t>
            </w:r>
          </w:p>
        </w:tc>
        <w:tc>
          <w:tcPr>
            <w:tcW w:w="1437" w:type="dxa"/>
            <w:vAlign w:val="top"/>
          </w:tcPr>
          <w:p w14:paraId="6AFE51CC">
            <w:pPr>
              <w:pStyle w:val="164"/>
              <w:spacing w:before="53" w:line="191" w:lineRule="auto"/>
              <w:ind w:left="541" w:leftChars="0"/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样本</w:t>
            </w:r>
          </w:p>
        </w:tc>
        <w:tc>
          <w:tcPr>
            <w:tcW w:w="1433" w:type="dxa"/>
            <w:vAlign w:val="top"/>
          </w:tcPr>
          <w:p w14:paraId="0F9CA971">
            <w:pPr>
              <w:spacing w:before="68" w:line="188" w:lineRule="auto"/>
              <w:ind w:left="607" w:leftChars="0"/>
              <w:rPr>
                <w:rFonts w:hint="eastAsia" w:asciiTheme="minorEastAsia" w:hAnsiTheme="minorEastAsia" w:eastAsiaTheme="minorEastAsia" w:cstheme="minorEastAsia"/>
                <w:color w:val="000008"/>
                <w:spacing w:val="-4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4"/>
                <w:sz w:val="21"/>
                <w:szCs w:val="21"/>
              </w:rPr>
              <w:t>300</w:t>
            </w:r>
          </w:p>
        </w:tc>
        <w:tc>
          <w:tcPr>
            <w:tcW w:w="1457" w:type="dxa"/>
            <w:vAlign w:val="top"/>
          </w:tcPr>
          <w:p w14:paraId="3CD53B7B">
            <w:pPr>
              <w:spacing w:before="68" w:line="188" w:lineRule="auto"/>
              <w:ind w:left="402" w:leftChars="0"/>
              <w:rPr>
                <w:rFonts w:hint="eastAsia" w:asciiTheme="minorEastAsia" w:hAnsiTheme="minorEastAsia" w:eastAsiaTheme="minorEastAsia" w:cstheme="minorEastAsia"/>
                <w:color w:val="000008"/>
                <w:spacing w:val="-5"/>
                <w:sz w:val="21"/>
                <w:szCs w:val="21"/>
              </w:rPr>
            </w:pPr>
          </w:p>
        </w:tc>
      </w:tr>
      <w:tr w14:paraId="5C7A1161">
        <w:tblPrEx>
          <w:tblLayout w:type="fixed"/>
        </w:tblPrEx>
        <w:trPr>
          <w:trHeight w:val="947" w:hRule="atLeast"/>
        </w:trPr>
        <w:tc>
          <w:tcPr>
            <w:tcW w:w="1456" w:type="dxa"/>
            <w:vAlign w:val="top"/>
          </w:tcPr>
          <w:p w14:paraId="7B824ADB">
            <w:pPr>
              <w:pStyle w:val="164"/>
              <w:spacing w:before="32" w:line="197" w:lineRule="auto"/>
              <w:ind w:left="114" w:leftChars="0" w:right="253" w:rightChars="0" w:firstLine="15" w:firstLineChars="0"/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4"/>
                <w:sz w:val="21"/>
                <w:szCs w:val="21"/>
              </w:rPr>
              <w:t>甲基化扩增与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 xml:space="preserve"> 分析</w:t>
            </w:r>
          </w:p>
        </w:tc>
        <w:tc>
          <w:tcPr>
            <w:tcW w:w="1437" w:type="dxa"/>
            <w:vAlign w:val="top"/>
          </w:tcPr>
          <w:p w14:paraId="5D316EC0">
            <w:pPr>
              <w:pStyle w:val="164"/>
              <w:spacing w:before="15" w:line="165" w:lineRule="auto"/>
              <w:ind w:left="95" w:leftChars="0" w:right="220" w:rightChars="0" w:firstLine="37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  <w:t>甲基化特异性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1"/>
                <w:sz w:val="21"/>
                <w:szCs w:val="21"/>
              </w:rPr>
              <w:t>PCR 扩增与琼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3"/>
                <w:sz w:val="21"/>
                <w:szCs w:val="21"/>
              </w:rPr>
              <w:t xml:space="preserve">脂糖凝胶多道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1"/>
                <w:sz w:val="21"/>
                <w:szCs w:val="21"/>
              </w:rPr>
              <w:t>电泳显色</w:t>
            </w:r>
          </w:p>
        </w:tc>
        <w:tc>
          <w:tcPr>
            <w:tcW w:w="1437" w:type="dxa"/>
            <w:vAlign w:val="top"/>
          </w:tcPr>
          <w:p w14:paraId="6FBACACF">
            <w:pPr>
              <w:pStyle w:val="164"/>
              <w:spacing w:before="48" w:line="191" w:lineRule="auto"/>
              <w:ind w:left="541" w:leftChars="0"/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样本</w:t>
            </w:r>
          </w:p>
        </w:tc>
        <w:tc>
          <w:tcPr>
            <w:tcW w:w="1433" w:type="dxa"/>
            <w:vAlign w:val="top"/>
          </w:tcPr>
          <w:p w14:paraId="19239C3D">
            <w:pPr>
              <w:spacing w:before="62" w:line="188" w:lineRule="auto"/>
              <w:ind w:left="607" w:leftChars="0"/>
              <w:rPr>
                <w:rFonts w:hint="eastAsia" w:asciiTheme="minorEastAsia" w:hAnsiTheme="minorEastAsia" w:eastAsiaTheme="minorEastAsia" w:cstheme="minorEastAsia"/>
                <w:color w:val="000008"/>
                <w:spacing w:val="-4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4"/>
                <w:sz w:val="21"/>
                <w:szCs w:val="21"/>
              </w:rPr>
              <w:t>300</w:t>
            </w:r>
          </w:p>
        </w:tc>
        <w:tc>
          <w:tcPr>
            <w:tcW w:w="1457" w:type="dxa"/>
            <w:vAlign w:val="top"/>
          </w:tcPr>
          <w:p w14:paraId="35005964">
            <w:pPr>
              <w:spacing w:before="63" w:line="188" w:lineRule="auto"/>
              <w:ind w:left="423" w:leftChars="0"/>
              <w:rPr>
                <w:rFonts w:hint="eastAsia" w:asciiTheme="minorEastAsia" w:hAnsiTheme="minorEastAsia" w:eastAsiaTheme="minorEastAsia" w:cstheme="minorEastAsia"/>
                <w:color w:val="000008"/>
                <w:spacing w:val="-5"/>
                <w:sz w:val="21"/>
                <w:szCs w:val="21"/>
              </w:rPr>
            </w:pPr>
          </w:p>
        </w:tc>
      </w:tr>
      <w:tr w14:paraId="77E3B809">
        <w:tblPrEx>
          <w:tblLayout w:type="fixed"/>
        </w:tblPrEx>
        <w:trPr>
          <w:trHeight w:val="947" w:hRule="atLeast"/>
        </w:trPr>
        <w:tc>
          <w:tcPr>
            <w:tcW w:w="1456" w:type="dxa"/>
            <w:vAlign w:val="top"/>
          </w:tcPr>
          <w:p w14:paraId="02E3A7B5">
            <w:pPr>
              <w:pStyle w:val="164"/>
              <w:spacing w:before="36" w:line="193" w:lineRule="auto"/>
              <w:ind w:left="120" w:leftChars="0"/>
              <w:rPr>
                <w:rFonts w:hint="eastAsia" w:asciiTheme="minorEastAsia" w:hAnsiTheme="minorEastAsia" w:eastAsiaTheme="minorEastAsia" w:cstheme="minorEastAsia"/>
                <w:color w:val="000008"/>
                <w:spacing w:val="-3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高级数据分析</w:t>
            </w:r>
          </w:p>
        </w:tc>
        <w:tc>
          <w:tcPr>
            <w:tcW w:w="1437" w:type="dxa"/>
            <w:vAlign w:val="top"/>
          </w:tcPr>
          <w:p w14:paraId="405B153D">
            <w:pPr>
              <w:pStyle w:val="164"/>
              <w:spacing w:before="18" w:line="170" w:lineRule="auto"/>
              <w:ind w:left="99" w:leftChars="0" w:right="245" w:rightChars="0"/>
              <w:jc w:val="both"/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1"/>
                <w:sz w:val="21"/>
                <w:szCs w:val="21"/>
              </w:rPr>
              <w:t>相对表达量计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1"/>
                <w:sz w:val="21"/>
                <w:szCs w:val="21"/>
              </w:rPr>
              <w:t>算、灰度扫描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1"/>
                <w:sz w:val="21"/>
                <w:szCs w:val="21"/>
              </w:rPr>
              <w:t>映射与学术总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8"/>
                <w:spacing w:val="-2"/>
                <w:sz w:val="21"/>
                <w:szCs w:val="21"/>
              </w:rPr>
              <w:t>报告编制</w:t>
            </w:r>
          </w:p>
        </w:tc>
        <w:tc>
          <w:tcPr>
            <w:tcW w:w="1437" w:type="dxa"/>
            <w:vAlign w:val="top"/>
          </w:tcPr>
          <w:p w14:paraId="254515A2">
            <w:pPr>
              <w:pStyle w:val="164"/>
              <w:spacing w:before="41" w:line="192" w:lineRule="auto"/>
              <w:ind w:left="635" w:leftChars="0"/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>案</w:t>
            </w:r>
          </w:p>
        </w:tc>
        <w:tc>
          <w:tcPr>
            <w:tcW w:w="1433" w:type="dxa"/>
            <w:vAlign w:val="top"/>
          </w:tcPr>
          <w:p w14:paraId="6497548B">
            <w:pPr>
              <w:spacing w:before="52" w:line="188" w:lineRule="auto"/>
              <w:ind w:left="720" w:leftChars="0"/>
              <w:rPr>
                <w:rFonts w:hint="eastAsia" w:asciiTheme="minorEastAsia" w:hAnsiTheme="minorEastAsia" w:eastAsiaTheme="minorEastAsia" w:cstheme="minorEastAsia"/>
                <w:color w:val="000008"/>
                <w:spacing w:val="-4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8"/>
                <w:sz w:val="21"/>
                <w:szCs w:val="21"/>
              </w:rPr>
              <w:t>1</w:t>
            </w:r>
          </w:p>
        </w:tc>
        <w:tc>
          <w:tcPr>
            <w:tcW w:w="1457" w:type="dxa"/>
            <w:vAlign w:val="top"/>
          </w:tcPr>
          <w:p w14:paraId="0FCB48D9">
            <w:pPr>
              <w:spacing w:before="52" w:line="188" w:lineRule="auto"/>
              <w:ind w:left="449" w:leftChars="0"/>
              <w:rPr>
                <w:rFonts w:hint="eastAsia" w:asciiTheme="minorEastAsia" w:hAnsiTheme="minorEastAsia" w:eastAsiaTheme="minorEastAsia" w:cstheme="minorEastAsia"/>
                <w:color w:val="000008"/>
                <w:spacing w:val="-5"/>
                <w:sz w:val="21"/>
                <w:szCs w:val="21"/>
              </w:rPr>
            </w:pPr>
          </w:p>
        </w:tc>
      </w:tr>
    </w:tbl>
    <w:p w14:paraId="14071A39">
      <w:pPr>
        <w:rPr>
          <w:rFonts w:ascii="宋体" w:hAnsi="宋体" w:eastAsia="宋体"/>
          <w:sz w:val="24"/>
          <w:lang w:eastAsia="zh-CN"/>
        </w:rPr>
      </w:pPr>
    </w:p>
    <w:p w14:paraId="34159C20">
      <w:pPr>
        <w:pStyle w:val="2"/>
        <w:rPr>
          <w:lang w:eastAsia="zh-CN"/>
        </w:rPr>
      </w:pPr>
      <w:r>
        <w:rPr>
          <w:rFonts w:ascii="宋体" w:hAnsi="宋体" w:eastAsia="宋体"/>
          <w:sz w:val="24"/>
          <w:lang w:eastAsia="zh-CN"/>
        </w:rPr>
        <w:t>二、资质与技术要求</w:t>
      </w:r>
    </w:p>
    <w:p w14:paraId="3C135476">
      <w:pPr>
        <w:spacing w:after="80"/>
        <w:rPr>
          <w:lang w:eastAsia="zh-CN"/>
        </w:rPr>
      </w:pPr>
      <w:r>
        <w:rPr>
          <w:rFonts w:hint="eastAsia"/>
          <w:sz w:val="24"/>
          <w:szCs w:val="24"/>
        </w:rPr>
        <w:t>1. 资格要求：乙方具备有效的营业执照并提供承诺函，内容为公司承诺自己具有完成服务的能力，并加盖公司公章。</w:t>
      </w:r>
      <w:bookmarkStart w:id="0" w:name="_GoBack"/>
      <w:bookmarkEnd w:id="0"/>
    </w:p>
    <w:p w14:paraId="4C9C0EBB">
      <w:pPr>
        <w:spacing w:after="80"/>
        <w:rPr>
          <w:lang w:eastAsia="zh-CN"/>
        </w:rPr>
      </w:pPr>
      <w:r>
        <w:rPr>
          <w:lang w:eastAsia="zh-CN"/>
        </w:rPr>
        <w:t>2. 乙方应熟悉SD大鼠尾悬吊/后肢卸载模型及DSS诱导溃疡性结肠炎模型，能够建立稳定、可追溯的模型构建SOP，并在实施前与甲方确认动物分组、样本量、观察指标、处死取材时间点及异常情况处理原则。</w:t>
      </w:r>
    </w:p>
    <w:p w14:paraId="19EDE9F0">
      <w:pPr>
        <w:spacing w:after="80"/>
        <w:rPr>
          <w:lang w:eastAsia="zh-CN"/>
        </w:rPr>
      </w:pPr>
      <w:r>
        <w:rPr>
          <w:lang w:eastAsia="zh-CN"/>
        </w:rPr>
        <w:t>3. 乙方应具备稳定开展SD大鼠尾悬吊/后肢卸载模型、DSS诱导溃疡性结肠炎模型及规范取材的能力；能够按甲方要求提供结肠/肠组织、结肠黏膜/肠黏膜组织及血清/血浆样本，并保留完整的样本编号、取材部位、保存条件和交接记录。</w:t>
      </w:r>
    </w:p>
    <w:p w14:paraId="57345309">
      <w:pPr>
        <w:spacing w:after="80"/>
        <w:rPr>
          <w:lang w:eastAsia="zh-CN"/>
        </w:rPr>
      </w:pPr>
      <w:r>
        <w:rPr>
          <w:lang w:eastAsia="zh-CN"/>
        </w:rPr>
        <w:t>4. 模型构建期间应开展每日观察和记录，包括体重、饮水量、进食量、粪便性状、隐血/便血、活动状态、尾部固定情况、尾部皮肤损伤及脱尾风险等。出现死亡、严重应激、尾部坏死、体重下降过快等异常情况时，乙方应立即通知甲方并按伦理批件和动物福利要求处置。</w:t>
      </w:r>
    </w:p>
    <w:p w14:paraId="0D62589D">
      <w:pPr>
        <w:spacing w:after="80"/>
        <w:rPr>
          <w:lang w:eastAsia="zh-CN"/>
        </w:rPr>
      </w:pPr>
      <w:r>
        <w:rPr>
          <w:lang w:eastAsia="zh-CN"/>
        </w:rPr>
        <w:t>5. DSS诱导期间应记录DSS来源、分子量范围、批号、浓度、配制时间、更换频率及每笼/每只饮水情况。若实际诱导效果与预期差异较大，乙方应及时与甲方沟通是否调整诱导周期或进行补充观察。</w:t>
      </w:r>
    </w:p>
    <w:p w14:paraId="10EE386F">
      <w:pPr>
        <w:spacing w:after="80"/>
        <w:rPr>
          <w:lang w:eastAsia="zh-CN"/>
        </w:rPr>
      </w:pPr>
      <w:r>
        <w:rPr>
          <w:lang w:eastAsia="zh-CN"/>
        </w:rPr>
        <w:t>6. 乙方应按甲方要求采集用于组织形态学观察的结肠/肠组织样本和编号。除双方另有约定外，固定、脱水、包埋、切片、HE染色、显微图像采集及病理/组织学评分由甲方自行完成。</w:t>
      </w:r>
    </w:p>
    <w:p w14:paraId="1DF7B30C">
      <w:pPr>
        <w:spacing w:after="80"/>
        <w:rPr>
          <w:lang w:eastAsia="zh-CN"/>
        </w:rPr>
      </w:pPr>
      <w:r>
        <w:rPr>
          <w:lang w:eastAsia="zh-CN"/>
        </w:rPr>
        <w:t>7. 乙方应按甲方要求采集用于IL-6、TNF-</w:t>
      </w:r>
      <w:r>
        <w:t>α</w:t>
      </w:r>
      <w:r>
        <w:rPr>
          <w:lang w:eastAsia="zh-CN"/>
        </w:rPr>
        <w:t>及ET检测的样本，其中IL-6、TNF-</w:t>
      </w:r>
      <w:r>
        <w:t>α</w:t>
      </w:r>
      <w:r>
        <w:rPr>
          <w:lang w:eastAsia="zh-CN"/>
        </w:rPr>
        <w:t>检测样本为结肠黏膜/肠黏膜组织，ET检测样本为实验大鼠外周血分离所得血清或血浆。乙方仅负责样本采集、编号、分装、保存和交付，不负责ELISA检测、标准曲线建立、浓度计算及检测报告出具。</w:t>
      </w:r>
    </w:p>
    <w:p w14:paraId="429C9A18">
      <w:pPr>
        <w:spacing w:after="80"/>
        <w:rPr>
          <w:lang w:eastAsia="zh-CN"/>
        </w:rPr>
      </w:pPr>
      <w:r>
        <w:rPr>
          <w:lang w:eastAsia="zh-CN"/>
        </w:rPr>
        <w:t>8. 乙方应协助完成分子检测相关引物设计，至少包括mRNA检测引物和甲基化检测引物。引物设计应提供目标基因、参考序列/转录本编号、引物序列、扩增片段长度、Tm值、GC含量、设计区域、特异性验证记录及必要的设计说明。</w:t>
      </w:r>
    </w:p>
    <w:p w14:paraId="0CD0502E">
      <w:pPr>
        <w:pStyle w:val="2"/>
        <w:rPr>
          <w:lang w:eastAsia="zh-CN"/>
        </w:rPr>
      </w:pPr>
      <w:r>
        <w:rPr>
          <w:rFonts w:ascii="宋体" w:hAnsi="宋体" w:eastAsia="宋体"/>
          <w:sz w:val="24"/>
          <w:lang w:eastAsia="zh-CN"/>
        </w:rPr>
        <w:t>三、人员要求</w:t>
      </w:r>
    </w:p>
    <w:p w14:paraId="2EA0B6CD">
      <w:pPr>
        <w:spacing w:after="80"/>
        <w:rPr>
          <w:lang w:eastAsia="zh-CN"/>
        </w:rPr>
      </w:pPr>
      <w:r>
        <w:rPr>
          <w:rFonts w:hint="eastAsia"/>
          <w:sz w:val="24"/>
          <w:szCs w:val="24"/>
        </w:rPr>
        <w:t>1. 乙方项目团队应至少具备qPCR/甲基化检测引物设计经验的分子生物学技术人员。具有动物实验、炎症性肠病模型或相关科研服务经验。</w:t>
      </w:r>
    </w:p>
    <w:p w14:paraId="669191E4">
      <w:pPr>
        <w:spacing w:after="80"/>
        <w:rPr>
          <w:lang w:eastAsia="zh-CN"/>
        </w:rPr>
      </w:pPr>
      <w:r>
        <w:rPr>
          <w:lang w:eastAsia="zh-CN"/>
        </w:rPr>
        <w:t>2. 从事实验动物操作的人员应接受实验动物上岗培训，熟悉尾悬吊模型、DSS诱导模型、动物福利终点及样本采集规范。</w:t>
      </w:r>
    </w:p>
    <w:p w14:paraId="7996B33D">
      <w:pPr>
        <w:spacing w:after="80"/>
        <w:rPr>
          <w:lang w:eastAsia="zh-CN"/>
        </w:rPr>
      </w:pPr>
      <w:r>
        <w:rPr>
          <w:lang w:eastAsia="zh-CN"/>
        </w:rPr>
        <w:t>3. 样本处理人员应熟悉肠组织取材、黏膜刮取、血液采集、样本分装、低温保存和冷链交付要求；分子生物学技术人员应具备mRNA qPCR引物及亚硫酸氢盐转化后甲基化检测引物设计经验。</w:t>
      </w:r>
    </w:p>
    <w:p w14:paraId="25671C14">
      <w:pPr>
        <w:spacing w:after="80"/>
        <w:rPr>
          <w:lang w:eastAsia="zh-CN"/>
        </w:rPr>
      </w:pPr>
      <w:r>
        <w:rPr>
          <w:lang w:eastAsia="zh-CN"/>
        </w:rPr>
        <w:t>4. 乙方应实施“双人复核+关键步骤质控点记录”制度，对动物分组、样本编号、取材部位、取材时间、样本保存、交接清单及引物设计结果等关键环节进行复核。</w:t>
      </w:r>
    </w:p>
    <w:p w14:paraId="7FACFAE9">
      <w:pPr>
        <w:pStyle w:val="2"/>
      </w:pPr>
      <w:r>
        <w:rPr>
          <w:rFonts w:ascii="宋体" w:hAnsi="宋体" w:eastAsia="宋体"/>
          <w:sz w:val="24"/>
        </w:rPr>
        <w:t>四、服务要求</w:t>
      </w:r>
    </w:p>
    <w:tbl>
      <w:tblPr>
        <w:tblStyle w:val="36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683"/>
      </w:tblGrid>
      <w:tr w14:paraId="3941D18D">
        <w:tblPrEx>
          <w:tblLayout w:type="fixed"/>
        </w:tblPrEx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2A22C012">
            <w:pPr>
              <w:spacing w:after="0" w:line="288" w:lineRule="auto"/>
            </w:pPr>
            <w:r>
              <w:rPr>
                <w:b/>
                <w:sz w:val="21"/>
              </w:rPr>
              <w:t>项目</w:t>
            </w:r>
          </w:p>
        </w:tc>
        <w:tc>
          <w:tcPr>
            <w:tcW w:w="6683" w:type="dxa"/>
            <w:shd w:val="clear" w:color="auto" w:fill="D9EAF7"/>
            <w:vAlign w:val="center"/>
          </w:tcPr>
          <w:p w14:paraId="122F3CF2">
            <w:pPr>
              <w:spacing w:after="0" w:line="288" w:lineRule="auto"/>
            </w:pPr>
            <w:r>
              <w:rPr>
                <w:b/>
                <w:sz w:val="21"/>
              </w:rPr>
              <w:t>要求</w:t>
            </w:r>
          </w:p>
        </w:tc>
      </w:tr>
      <w:tr w14:paraId="7FDF62DF">
        <w:tblPrEx>
          <w:tblLayout w:type="fixed"/>
        </w:tblPrEx>
        <w:trPr>
          <w:jc w:val="center"/>
        </w:trPr>
        <w:tc>
          <w:tcPr>
            <w:tcW w:w="2835" w:type="dxa"/>
            <w:vAlign w:val="center"/>
          </w:tcPr>
          <w:p w14:paraId="2D10EC8F">
            <w:pPr>
              <w:spacing w:after="0" w:line="288" w:lineRule="auto"/>
            </w:pPr>
            <w:r>
              <w:rPr>
                <w:sz w:val="21"/>
              </w:rPr>
              <w:t>1. 项目周期</w:t>
            </w:r>
          </w:p>
        </w:tc>
        <w:tc>
          <w:tcPr>
            <w:tcW w:w="6683" w:type="dxa"/>
            <w:vAlign w:val="center"/>
          </w:tcPr>
          <w:p w14:paraId="7D4FF7B9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自双方签署协议并完成方案确认后启动。服务周期为</w:t>
            </w:r>
            <w:r>
              <w:rPr>
                <w:rFonts w:hint="eastAsia"/>
                <w:sz w:val="21"/>
                <w:lang w:eastAsia="zh-CN"/>
              </w:rPr>
              <w:t>4</w:t>
            </w:r>
            <w:r>
              <w:rPr>
                <w:sz w:val="21"/>
                <w:lang w:eastAsia="zh-CN"/>
              </w:rPr>
              <w:t>—</w:t>
            </w:r>
            <w:r>
              <w:rPr>
                <w:rFonts w:hint="eastAsia"/>
                <w:sz w:val="21"/>
                <w:lang w:eastAsia="zh-CN"/>
              </w:rPr>
              <w:t>6</w:t>
            </w:r>
            <w:r>
              <w:rPr>
                <w:sz w:val="21"/>
                <w:lang w:eastAsia="zh-CN"/>
              </w:rPr>
              <w:t>周：方案确认及动物准备约3—5个工作日，适应性饲养约3 d，尾悬吊及DSS诱导建模约14 d，样本采集、分装、交付及引物设计约5—7个工作日。具体进度以双方书面确认的实施计划为准。</w:t>
            </w:r>
          </w:p>
        </w:tc>
      </w:tr>
      <w:tr w14:paraId="318F83F7">
        <w:tblPrEx>
          <w:tblLayout w:type="fixed"/>
        </w:tblPrEx>
        <w:trPr>
          <w:jc w:val="center"/>
        </w:trPr>
        <w:tc>
          <w:tcPr>
            <w:tcW w:w="2835" w:type="dxa"/>
            <w:vAlign w:val="center"/>
          </w:tcPr>
          <w:p w14:paraId="37E11028">
            <w:pPr>
              <w:spacing w:after="0" w:line="288" w:lineRule="auto"/>
            </w:pPr>
            <w:r>
              <w:rPr>
                <w:sz w:val="21"/>
              </w:rPr>
              <w:t>2. 样本与动物来源</w:t>
            </w:r>
          </w:p>
        </w:tc>
        <w:tc>
          <w:tcPr>
            <w:tcW w:w="6683" w:type="dxa"/>
            <w:vAlign w:val="center"/>
          </w:tcPr>
          <w:p w14:paraId="50358DD8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实验动物由乙方采购或由甲方指定来源，动物供应商、许可证号、动物等级、性别、体重范围和健康证明应随项目记录留存。样本交付类型包括结肠/肠组织、结肠黏膜/肠黏膜组织、</w:t>
            </w:r>
            <w:r>
              <w:rPr>
                <w:rFonts w:hint="eastAsia"/>
                <w:sz w:val="21"/>
                <w:lang w:eastAsia="zh-CN"/>
              </w:rPr>
              <w:t>外周血</w:t>
            </w:r>
            <w:r>
              <w:rPr>
                <w:sz w:val="21"/>
                <w:lang w:eastAsia="zh-CN"/>
              </w:rPr>
              <w:t>等</w:t>
            </w:r>
            <w:r>
              <w:rPr>
                <w:rFonts w:hint="eastAsia"/>
                <w:sz w:val="21"/>
                <w:lang w:eastAsia="zh-CN"/>
              </w:rPr>
              <w:t>。</w:t>
            </w:r>
          </w:p>
        </w:tc>
      </w:tr>
      <w:tr w14:paraId="2BD72CA2">
        <w:tblPrEx>
          <w:tblLayout w:type="fixed"/>
        </w:tblPrEx>
        <w:trPr>
          <w:jc w:val="center"/>
        </w:trPr>
        <w:tc>
          <w:tcPr>
            <w:tcW w:w="2835" w:type="dxa"/>
            <w:vAlign w:val="center"/>
          </w:tcPr>
          <w:p w14:paraId="69C6752B">
            <w:pPr>
              <w:spacing w:after="0" w:line="288" w:lineRule="auto"/>
            </w:pPr>
            <w:r>
              <w:rPr>
                <w:sz w:val="21"/>
              </w:rPr>
              <w:t>3. 技术服务进度</w:t>
            </w:r>
          </w:p>
        </w:tc>
        <w:tc>
          <w:tcPr>
            <w:tcW w:w="6683" w:type="dxa"/>
            <w:vAlign w:val="center"/>
          </w:tcPr>
          <w:p w14:paraId="7D89D5AC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乙方启动项目前应向甲方提交简要SOP和时间表；建模过程中每周至少反馈1次进展，出现动物死亡、建模异常、样本污染、样本不足或保存异常等情况应在24小时内反馈。</w:t>
            </w:r>
          </w:p>
        </w:tc>
      </w:tr>
      <w:tr w14:paraId="06659951">
        <w:tblPrEx>
          <w:tblLayout w:type="fixed"/>
        </w:tblPrEx>
        <w:trPr>
          <w:jc w:val="center"/>
        </w:trPr>
        <w:tc>
          <w:tcPr>
            <w:tcW w:w="2835" w:type="dxa"/>
            <w:vAlign w:val="center"/>
          </w:tcPr>
          <w:p w14:paraId="78D81425">
            <w:pPr>
              <w:spacing w:after="0" w:line="288" w:lineRule="auto"/>
            </w:pPr>
            <w:r>
              <w:rPr>
                <w:sz w:val="21"/>
              </w:rPr>
              <w:t>4. 交付成果</w:t>
            </w:r>
          </w:p>
        </w:tc>
        <w:tc>
          <w:tcPr>
            <w:tcW w:w="6683" w:type="dxa"/>
            <w:vAlign w:val="center"/>
          </w:tcPr>
          <w:p w14:paraId="1489D2B8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乙方应交付：动物采购及分组记录、建模过程记录、DAI评分原始表、结肠长度/肉眼形态记录、组织样本交接清单、黏膜组织样本清单、</w:t>
            </w:r>
            <w:r>
              <w:rPr>
                <w:rFonts w:hint="eastAsia"/>
                <w:sz w:val="21"/>
                <w:lang w:eastAsia="zh-CN"/>
              </w:rPr>
              <w:t>外周血</w:t>
            </w:r>
            <w:r>
              <w:rPr>
                <w:sz w:val="21"/>
                <w:lang w:eastAsia="zh-CN"/>
              </w:rPr>
              <w:t>样本清单、样本编号对应表、冷链/保存记录、mRNA和甲基化检测引物设计表、引物特异性验证记录、阶段性沟通记录及最终技术服务报告。</w:t>
            </w:r>
          </w:p>
        </w:tc>
      </w:tr>
      <w:tr w14:paraId="2644B58A">
        <w:tblPrEx>
          <w:tblLayout w:type="fixed"/>
        </w:tblPrEx>
        <w:trPr>
          <w:jc w:val="center"/>
        </w:trPr>
        <w:tc>
          <w:tcPr>
            <w:tcW w:w="2835" w:type="dxa"/>
            <w:vAlign w:val="center"/>
          </w:tcPr>
          <w:p w14:paraId="02B75BF2">
            <w:pPr>
              <w:spacing w:after="0" w:line="288" w:lineRule="auto"/>
            </w:pPr>
            <w:r>
              <w:rPr>
                <w:sz w:val="21"/>
              </w:rPr>
              <w:t>5. 交付方式</w:t>
            </w:r>
          </w:p>
        </w:tc>
        <w:tc>
          <w:tcPr>
            <w:tcW w:w="6683" w:type="dxa"/>
            <w:vAlign w:val="center"/>
          </w:tcPr>
          <w:p w14:paraId="4F4F0A23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电子版数据、记录和引物设计表可通过甲方指定网盘、加密移动硬盘或双方认可的其他方式交付；结肠/肠组织、黏膜组织、</w:t>
            </w:r>
            <w:r>
              <w:rPr>
                <w:rFonts w:hint="eastAsia"/>
                <w:sz w:val="21"/>
                <w:lang w:eastAsia="zh-CN"/>
              </w:rPr>
              <w:t>外周血</w:t>
            </w:r>
            <w:r>
              <w:rPr>
                <w:sz w:val="21"/>
                <w:lang w:eastAsia="zh-CN"/>
              </w:rPr>
              <w:t>等实物样本按双方确认的条件进行新鲜交付、低温交付或干冰运输，并填写样本交接单。</w:t>
            </w:r>
          </w:p>
        </w:tc>
      </w:tr>
      <w:tr w14:paraId="13C5CF3A">
        <w:tblPrEx>
          <w:tblLayout w:type="fixed"/>
        </w:tblPrEx>
        <w:trPr>
          <w:jc w:val="center"/>
        </w:trPr>
        <w:tc>
          <w:tcPr>
            <w:tcW w:w="2835" w:type="dxa"/>
            <w:vAlign w:val="center"/>
          </w:tcPr>
          <w:p w14:paraId="34F52AED">
            <w:pPr>
              <w:spacing w:after="0" w:line="288" w:lineRule="auto"/>
            </w:pPr>
            <w:r>
              <w:rPr>
                <w:sz w:val="21"/>
              </w:rPr>
              <w:t>6. 验收程序</w:t>
            </w:r>
          </w:p>
        </w:tc>
        <w:tc>
          <w:tcPr>
            <w:tcW w:w="6683" w:type="dxa"/>
            <w:vAlign w:val="center"/>
          </w:tcPr>
          <w:p w14:paraId="3C7C9DFD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甲方收到交付材料和样本后进行完整性和一致性核查。交付材料齐全、样本编号清晰、取材部位明确、保存条件符合约定、引物设计信息完整且无明显质量缺陷的，甲方可通过邮件或书面形式确认验收。若存在问题，乙方应在双方约定期限内补充说明或整改。</w:t>
            </w:r>
          </w:p>
        </w:tc>
      </w:tr>
      <w:tr w14:paraId="7016920A">
        <w:tblPrEx>
          <w:tblLayout w:type="fixed"/>
        </w:tblPrEx>
        <w:trPr>
          <w:jc w:val="center"/>
        </w:trPr>
        <w:tc>
          <w:tcPr>
            <w:tcW w:w="2835" w:type="dxa"/>
            <w:vAlign w:val="center"/>
          </w:tcPr>
          <w:p w14:paraId="26AB8F28">
            <w:pPr>
              <w:spacing w:after="0" w:line="288" w:lineRule="auto"/>
            </w:pPr>
            <w:r>
              <w:rPr>
                <w:sz w:val="21"/>
              </w:rPr>
              <w:t>7. 付款周期</w:t>
            </w:r>
          </w:p>
        </w:tc>
        <w:tc>
          <w:tcPr>
            <w:tcW w:w="6683" w:type="dxa"/>
            <w:vAlign w:val="center"/>
          </w:tcPr>
          <w:p w14:paraId="1E9FB605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项目验收合格后，乙方按约定金额开具合法有效发票，甲方在收到发票后</w:t>
            </w:r>
            <w:r>
              <w:rPr>
                <w:rFonts w:hint="eastAsia"/>
                <w:sz w:val="21"/>
                <w:lang w:eastAsia="zh-CN"/>
              </w:rPr>
              <w:t>30</w:t>
            </w:r>
            <w:r>
              <w:rPr>
                <w:sz w:val="21"/>
                <w:lang w:eastAsia="zh-CN"/>
              </w:rPr>
              <w:t>个工作日内支付相应款项。具体金额、付款比例和账户信息以正式合同或报价单为准。</w:t>
            </w:r>
          </w:p>
        </w:tc>
      </w:tr>
      <w:tr w14:paraId="0DECCC19">
        <w:tblPrEx>
          <w:tblLayout w:type="fixed"/>
        </w:tblPrEx>
        <w:trPr>
          <w:jc w:val="center"/>
        </w:trPr>
        <w:tc>
          <w:tcPr>
            <w:tcW w:w="2835" w:type="dxa"/>
            <w:vAlign w:val="center"/>
          </w:tcPr>
          <w:p w14:paraId="2CED7AA0">
            <w:pPr>
              <w:spacing w:after="0" w:line="288" w:lineRule="auto"/>
            </w:pPr>
            <w:r>
              <w:rPr>
                <w:sz w:val="21"/>
              </w:rPr>
              <w:t>8. 质控流程和记录</w:t>
            </w:r>
          </w:p>
        </w:tc>
        <w:tc>
          <w:tcPr>
            <w:tcW w:w="6683" w:type="dxa"/>
            <w:vAlign w:val="center"/>
          </w:tcPr>
          <w:p w14:paraId="2D8622AB">
            <w:pPr>
              <w:spacing w:after="0" w:line="288" w:lineRule="auto"/>
              <w:rPr>
                <w:lang w:eastAsia="zh-CN"/>
              </w:rPr>
            </w:pPr>
            <w:r>
              <w:rPr>
                <w:sz w:val="21"/>
                <w:lang w:eastAsia="zh-CN"/>
              </w:rPr>
              <w:t>乙方应对动物接收、编号、随机分组、尾悬吊固定、DSS配制、每日观察、取材、样本分装、样本保存、冷链交付、样本交接、引物设计和报告生成等环节设置质控点，全程保留电子或纸质记录，形成可追溯文档并随报告归档。</w:t>
            </w:r>
          </w:p>
        </w:tc>
      </w:tr>
    </w:tbl>
    <w:p w14:paraId="7799174B">
      <w:pPr>
        <w:ind w:firstLine="480"/>
        <w:rPr>
          <w:lang w:eastAsia="zh-CN"/>
        </w:rPr>
      </w:pPr>
    </w:p>
    <w:sectPr>
      <w:footerReference r:id="rId3" w:type="default"/>
      <w:pgSz w:w="12240" w:h="15840"/>
      <w:pgMar w:top="1304" w:right="1304" w:bottom="1134" w:left="141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苹方-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iragino Sans">
    <w:panose1 w:val="020B0700000000000000"/>
    <w:charset w:val="80"/>
    <w:family w:val="auto"/>
    <w:pitch w:val="default"/>
    <w:sig w:usb0="00000000" w:usb1="00000000" w:usb2="00000012" w:usb3="00000000" w:csb0="0002000D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苹方-简">
    <w:altName w:val="Times New Roman"/>
    <w:panose1 w:val="020B0600000000000000"/>
    <w:charset w:val="00"/>
    <w:family w:val="auto"/>
    <w:pitch w:val="default"/>
    <w:sig w:usb0="00000000" w:usb1="00000000" w:usb2="00000017" w:usb3="00000000" w:csb0="00040001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公文小标宋"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76A8C">
    <w:pPr>
      <w:pStyle w:val="24"/>
      <w:jc w:val="center"/>
      <w:rPr>
        <w:rFonts w:hint="eastAsia"/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0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200" w:line="288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30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line="288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line="288" w:lineRule="auto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line="480" w:lineRule="auto"/>
    </w:pPr>
  </w:style>
  <w:style w:type="paragraph" w:styleId="29">
    <w:name w:val="List Continue 2"/>
    <w:basedOn w:val="1"/>
    <w:unhideWhenUsed/>
    <w:qFormat/>
    <w:uiPriority w:val="99"/>
    <w:pPr>
      <w:ind w:left="720"/>
      <w:contextualSpacing/>
    </w:pPr>
  </w:style>
  <w:style w:type="paragraph" w:styleId="30">
    <w:name w:val="List Continue 3"/>
    <w:basedOn w:val="1"/>
    <w:unhideWhenUsed/>
    <w:uiPriority w:val="99"/>
    <w:pPr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37">
    <w:name w:val="Light Shading"/>
    <w:basedOn w:val="35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页眉 字符"/>
    <w:basedOn w:val="32"/>
    <w:link w:val="25"/>
    <w:qFormat/>
    <w:uiPriority w:val="99"/>
  </w:style>
  <w:style w:type="character" w:customStyle="1" w:styleId="136">
    <w:name w:val="页脚 字符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32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32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32"/>
    <w:link w:val="19"/>
    <w:uiPriority w:val="99"/>
  </w:style>
  <w:style w:type="character" w:customStyle="1" w:styleId="145">
    <w:name w:val="正文文本 2 字符"/>
    <w:basedOn w:val="32"/>
    <w:link w:val="28"/>
    <w:qFormat/>
    <w:uiPriority w:val="99"/>
  </w:style>
  <w:style w:type="character" w:customStyle="1" w:styleId="146">
    <w:name w:val="正文文本 3 字符"/>
    <w:basedOn w:val="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32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32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32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  <w:style w:type="paragraph" w:customStyle="1" w:styleId="164">
    <w:name w:val="Table Text"/>
    <w:basedOn w:val="1"/>
    <w:semiHidden/>
    <w:qFormat/>
    <w:uiPriority w:val="0"/>
    <w:rPr>
      <w:rFonts w:ascii="Arial Unicode MS" w:hAnsi="Arial Unicode MS" w:eastAsia="Arial Unicode MS" w:cs="Arial Unicode MS"/>
      <w:sz w:val="20"/>
      <w:szCs w:val="20"/>
      <w:lang w:val="en-US" w:eastAsia="en-US" w:bidi="ar-SA"/>
    </w:rPr>
  </w:style>
  <w:style w:type="table" w:customStyle="1" w:styleId="165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2166</Words>
  <Characters>2323</Characters>
  <Lines>21</Lines>
  <Paragraphs>6</Paragraphs>
  <TotalTime>0</TotalTime>
  <ScaleCrop>false</ScaleCrop>
  <LinksUpToDate>false</LinksUpToDate>
  <CharactersWithSpaces>2351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OpenAI</dc:creator>
  <dc:description>generated by python-docx</dc:description>
  <cp:lastModifiedBy>iPhone</cp:lastModifiedBy>
  <dcterms:modified xsi:type="dcterms:W3CDTF">2026-08-08T20:38:23Z</dcterms:modified>
  <dc:subject>院外合作协议模板</dc:subject>
  <dc:title>模拟失重溃疡性结肠炎大鼠模型构建及表型评价院外合作协议模板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2052-26.7.1</vt:lpwstr>
  </property>
  <property fmtid="{D5CDD505-2E9C-101B-9397-08002B2CF9AE}" pid="3" name="ICV">
    <vt:lpwstr>30D1967DC9D543F880D20499D6FF62C7_13</vt:lpwstr>
  </property>
</Properties>
</file>